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7E7A2F">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bookmarkStart w:id="19" w:name="_GoBack"/>
      <w:bookmarkEnd w:id="19"/>
    </w:p>
    <w:p w14:paraId="197727D6">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4E1D657B">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0A81A763">
      <w:pPr>
        <w:keepNext w:val="0"/>
        <w:keepLines w:val="0"/>
        <w:widowControl/>
        <w:numPr>
          <w:ilvl w:val="0"/>
          <w:numId w:val="1"/>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425" w:leftChars="0" w:right="0" w:hanging="425" w:firstLineChars="0"/>
        <w:jc w:val="center"/>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GOVERNANCE AND ACCOUNTABILITY TRAINING FOR CIVIL SOCIETY ORGANISATION LEADERS IN UGANDA</w:t>
      </w:r>
    </w:p>
    <w:p w14:paraId="6EC2700E">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58216B39">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426DF764">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0599725B">
      <w:pPr>
        <w:keepNext w:val="0"/>
        <w:keepLines w:val="0"/>
        <w:widowControl/>
        <w:numPr>
          <w:ilvl w:val="0"/>
          <w:numId w:val="1"/>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425" w:leftChars="0" w:right="0" w:hanging="425" w:firstLineChars="0"/>
        <w:jc w:val="center"/>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br w:type="textWrapping"/>
      </w:r>
      <w:r>
        <w:rPr>
          <w:rFonts w:hint="default" w:ascii="Goudy Old Style" w:hAnsi="Goudy Old Style" w:eastAsia="sans-serif" w:cs="Goudy Old Style"/>
          <w:color w:val="000000"/>
          <w:kern w:val="0"/>
          <w:sz w:val="24"/>
          <w:szCs w:val="24"/>
          <w:u w:val="none"/>
          <w:lang w:val="en-US" w:eastAsia="zh-CN" w:bidi="ar"/>
        </w:rPr>
        <w:t xml:space="preserve">FUNDED BY </w:t>
      </w:r>
    </w:p>
    <w:p w14:paraId="11B62C60">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34051F82">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34F1A4EE">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1B366550">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5C1DF1E9">
      <w:pPr>
        <w:keepNext w:val="0"/>
        <w:keepLines w:val="0"/>
        <w:widowControl/>
        <w:numPr>
          <w:ilvl w:val="0"/>
          <w:numId w:val="1"/>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425" w:leftChars="0" w:right="0" w:hanging="425" w:firstLineChars="0"/>
        <w:jc w:val="center"/>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 xml:space="preserve">THE AUSTRIAN DEVELOPMENT AGENCY (ADA) </w:t>
      </w:r>
    </w:p>
    <w:p w14:paraId="6BBBCDC5">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07103F96">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09FCA9B4">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0CBF88A8">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41B608D9">
      <w:pPr>
        <w:keepNext w:val="0"/>
        <w:keepLines w:val="0"/>
        <w:widowControl/>
        <w:numPr>
          <w:ilvl w:val="0"/>
          <w:numId w:val="1"/>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425" w:leftChars="0" w:right="0" w:hanging="425" w:firstLineChars="0"/>
        <w:jc w:val="center"/>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DATES: 23RD – 24TH OCTOBER 2025</w:t>
      </w:r>
      <w:r>
        <w:rPr>
          <w:rFonts w:hint="default" w:ascii="Goudy Old Style" w:hAnsi="Goudy Old Style" w:eastAsia="sans-serif" w:cs="Goudy Old Style"/>
          <w:color w:val="000000"/>
          <w:kern w:val="0"/>
          <w:sz w:val="24"/>
          <w:szCs w:val="24"/>
          <w:u w:val="none"/>
          <w:lang w:val="en-US" w:eastAsia="zh-CN" w:bidi="ar"/>
        </w:rPr>
        <w:br w:type="textWrapping"/>
      </w:r>
    </w:p>
    <w:p w14:paraId="696CCDD8">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2D558970">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3DB0ECCB">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336C36C6">
      <w:pPr>
        <w:keepNext w:val="0"/>
        <w:keepLines w:val="0"/>
        <w:widowControl/>
        <w:numPr>
          <w:ilvl w:val="0"/>
          <w:numId w:val="1"/>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425" w:leftChars="0" w:right="0" w:hanging="425" w:firstLineChars="0"/>
        <w:jc w:val="center"/>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VENUE: MILLENNIUM TERRACE HOTEL, KAMPALA</w:t>
      </w:r>
    </w:p>
    <w:p w14:paraId="4BC4C141">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6CE3946D">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2A37469E">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24D62289">
      <w:pPr>
        <w:keepNext w:val="0"/>
        <w:keepLines w:val="0"/>
        <w:widowControl/>
        <w:numPr>
          <w:ilvl w:val="0"/>
          <w:numId w:val="1"/>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425" w:leftChars="0" w:right="0" w:hanging="425" w:firstLineChars="0"/>
        <w:jc w:val="center"/>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br w:type="textWrapping"/>
      </w:r>
      <w:r>
        <w:rPr>
          <w:rFonts w:hint="default" w:ascii="Goudy Old Style" w:hAnsi="Goudy Old Style" w:eastAsia="sans-serif" w:cs="Goudy Old Style"/>
          <w:color w:val="000000"/>
          <w:kern w:val="0"/>
          <w:sz w:val="24"/>
          <w:szCs w:val="24"/>
          <w:u w:val="none"/>
          <w:lang w:val="en-US" w:eastAsia="zh-CN" w:bidi="ar"/>
        </w:rPr>
        <w:t>ORGANISED BY: FIDELIS LEADERSHIP INSTITUTE (FLI)</w:t>
      </w:r>
    </w:p>
    <w:p w14:paraId="717439A4">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4FD81851">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26291084">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1ACD09BA">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68E9DD80">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2736A950">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4EBEB12D">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0DA46A42">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2F941546">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63151DF3">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4C715D5B">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6D52F39B">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center"/>
        <w:rPr>
          <w:rFonts w:hint="default" w:ascii="Goudy Old Style" w:hAnsi="Goudy Old Style" w:eastAsia="sans-serif" w:cs="Goudy Old Style"/>
          <w:color w:val="000000"/>
          <w:kern w:val="0"/>
          <w:sz w:val="24"/>
          <w:szCs w:val="24"/>
          <w:u w:val="none"/>
          <w:lang w:val="en-US" w:eastAsia="zh-CN" w:bidi="ar"/>
        </w:rPr>
      </w:pPr>
    </w:p>
    <w:p w14:paraId="159BA190">
      <w:pPr>
        <w:keepNext w:val="0"/>
        <w:keepLines w:val="0"/>
        <w:widowControl/>
        <w:numPr>
          <w:ilvl w:val="0"/>
          <w:numId w:val="1"/>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425" w:leftChars="0" w:right="0" w:hanging="425" w:firstLineChars="0"/>
        <w:jc w:val="right"/>
        <w:rPr>
          <w:rFonts w:hint="default" w:ascii="Goudy Old Style" w:hAnsi="Goudy Old Style" w:eastAsia="sans-serif" w:cs="Goudy Old Style"/>
          <w:color w:val="000000"/>
          <w:kern w:val="0"/>
          <w:sz w:val="20"/>
          <w:szCs w:val="20"/>
          <w:u w:val="none"/>
          <w:lang w:val="en-US" w:eastAsia="zh-CN" w:bidi="ar"/>
        </w:rPr>
      </w:pPr>
      <w:r>
        <w:rPr>
          <w:rFonts w:hint="default" w:ascii="Goudy Old Style" w:hAnsi="Goudy Old Style" w:eastAsia="sans-serif" w:cs="Goudy Old Style"/>
          <w:color w:val="000000"/>
          <w:kern w:val="0"/>
          <w:sz w:val="20"/>
          <w:szCs w:val="20"/>
          <w:u w:val="none"/>
          <w:lang w:val="en-US" w:eastAsia="zh-CN" w:bidi="ar"/>
        </w:rPr>
        <w:t xml:space="preserve"> Email:info@fidelis-institute.org </w:t>
      </w:r>
      <w:r>
        <w:rPr>
          <w:rFonts w:hint="default" w:ascii="Goudy Old Style" w:hAnsi="Goudy Old Style" w:eastAsia="sans-serif" w:cs="Goudy Old Style"/>
          <w:color w:val="000000"/>
          <w:kern w:val="0"/>
          <w:sz w:val="20"/>
          <w:szCs w:val="20"/>
          <w:u w:val="none"/>
          <w:lang w:val="en-US" w:eastAsia="zh-CN" w:bidi="ar"/>
        </w:rPr>
        <w:br w:type="textWrapping"/>
      </w:r>
      <w:r>
        <w:rPr>
          <w:rFonts w:hint="default" w:ascii="Goudy Old Style" w:hAnsi="Goudy Old Style" w:eastAsia="sans-serif" w:cs="Goudy Old Style"/>
          <w:color w:val="000000"/>
          <w:kern w:val="0"/>
          <w:sz w:val="20"/>
          <w:szCs w:val="20"/>
          <w:u w:val="none"/>
          <w:lang w:val="en-US" w:eastAsia="zh-CN" w:bidi="ar"/>
        </w:rPr>
        <w:t>Phone No.:+256 707 815 003</w:t>
      </w:r>
      <w:r>
        <w:rPr>
          <w:rFonts w:hint="default" w:ascii="Goudy Old Style" w:hAnsi="Goudy Old Style" w:eastAsia="sans-serif" w:cs="Goudy Old Style"/>
          <w:color w:val="000000"/>
          <w:kern w:val="0"/>
          <w:sz w:val="20"/>
          <w:szCs w:val="20"/>
          <w:u w:val="none"/>
          <w:lang w:val="en-US" w:eastAsia="zh-CN" w:bidi="ar"/>
        </w:rPr>
        <w:br w:type="textWrapping"/>
      </w:r>
      <w:r>
        <w:rPr>
          <w:rFonts w:hint="default" w:ascii="Goudy Old Style" w:hAnsi="Goudy Old Style" w:eastAsia="sans-serif" w:cs="Goudy Old Style"/>
          <w:color w:val="000000"/>
          <w:kern w:val="0"/>
          <w:sz w:val="20"/>
          <w:szCs w:val="20"/>
          <w:u w:val="none"/>
          <w:lang w:val="en-US" w:eastAsia="zh-CN" w:bidi="ar"/>
        </w:rPr>
        <w:t xml:space="preserve">Address:Plot 61, Kanjokya Street, </w:t>
      </w:r>
    </w:p>
    <w:p w14:paraId="732D1355">
      <w:pPr>
        <w:keepNext w:val="0"/>
        <w:keepLines w:val="0"/>
        <w:widowControl/>
        <w:numPr>
          <w:ilvl w:val="0"/>
          <w:numId w:val="1"/>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425" w:leftChars="0" w:right="0" w:hanging="425" w:firstLineChars="0"/>
        <w:jc w:val="right"/>
        <w:rPr>
          <w:rFonts w:hint="default" w:ascii="Goudy Old Style" w:hAnsi="Goudy Old Style" w:eastAsia="sans-serif" w:cs="Goudy Old Style"/>
          <w:color w:val="000000"/>
          <w:kern w:val="0"/>
          <w:sz w:val="20"/>
          <w:szCs w:val="20"/>
          <w:u w:val="none"/>
          <w:lang w:val="en-US" w:eastAsia="zh-CN" w:bidi="ar"/>
        </w:rPr>
      </w:pPr>
      <w:r>
        <w:rPr>
          <w:rFonts w:hint="default" w:ascii="Goudy Old Style" w:hAnsi="Goudy Old Style" w:eastAsia="sans-serif" w:cs="Goudy Old Style"/>
          <w:color w:val="000000"/>
          <w:kern w:val="0"/>
          <w:sz w:val="20"/>
          <w:szCs w:val="20"/>
          <w:u w:val="none"/>
          <w:lang w:val="en-US" w:eastAsia="zh-CN" w:bidi="ar"/>
        </w:rPr>
        <w:t xml:space="preserve">Kamwokya, </w:t>
      </w:r>
      <w:r>
        <w:rPr>
          <w:rFonts w:hint="default" w:ascii="Goudy Old Style" w:hAnsi="Goudy Old Style" w:eastAsia="sans-serif" w:cs="Goudy Old Style"/>
          <w:color w:val="000000"/>
          <w:kern w:val="0"/>
          <w:sz w:val="20"/>
          <w:szCs w:val="20"/>
          <w:u w:val="none"/>
          <w:lang w:val="en-US" w:eastAsia="zh-CN" w:bidi="ar"/>
        </w:rPr>
        <w:br w:type="textWrapping"/>
      </w:r>
      <w:r>
        <w:rPr>
          <w:rFonts w:hint="default" w:ascii="Goudy Old Style" w:hAnsi="Goudy Old Style" w:eastAsia="sans-serif" w:cs="Goudy Old Style"/>
          <w:color w:val="000000"/>
          <w:kern w:val="0"/>
          <w:sz w:val="20"/>
          <w:szCs w:val="20"/>
          <w:u w:val="none"/>
          <w:lang w:val="en-US" w:eastAsia="zh-CN" w:bidi="ar"/>
        </w:rPr>
        <w:t xml:space="preserve">P.O Box 118380, </w:t>
      </w:r>
    </w:p>
    <w:p w14:paraId="05FF1E49">
      <w:pPr>
        <w:keepNext w:val="0"/>
        <w:keepLines w:val="0"/>
        <w:widowControl/>
        <w:numPr>
          <w:ilvl w:val="0"/>
          <w:numId w:val="1"/>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425" w:leftChars="0" w:right="0" w:hanging="425" w:firstLineChars="0"/>
        <w:jc w:val="right"/>
        <w:rPr>
          <w:rFonts w:hint="default" w:ascii="Goudy Old Style" w:hAnsi="Goudy Old Style" w:eastAsia="sans-serif" w:cs="Goudy Old Style"/>
          <w:color w:val="000000"/>
          <w:kern w:val="0"/>
          <w:sz w:val="20"/>
          <w:szCs w:val="20"/>
          <w:u w:val="none"/>
          <w:lang w:val="en-US" w:eastAsia="zh-CN" w:bidi="ar"/>
        </w:rPr>
      </w:pPr>
      <w:r>
        <w:rPr>
          <w:rFonts w:hint="default" w:ascii="Goudy Old Style" w:hAnsi="Goudy Old Style" w:eastAsia="sans-serif" w:cs="Goudy Old Style"/>
          <w:color w:val="000000"/>
          <w:kern w:val="0"/>
          <w:sz w:val="20"/>
          <w:szCs w:val="20"/>
          <w:u w:val="none"/>
          <w:lang w:val="en-US" w:eastAsia="zh-CN" w:bidi="ar"/>
        </w:rPr>
        <w:t>Kampala (U)</w:t>
      </w:r>
    </w:p>
    <w:p w14:paraId="36434335">
      <w:pPr>
        <w:keepNext w:val="0"/>
        <w:keepLines w:val="0"/>
        <w:widowControl/>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sdt>
      <w:sdtPr>
        <w:rPr>
          <w:rFonts w:hint="default" w:ascii="Goudy Old Style" w:hAnsi="Goudy Old Style" w:eastAsia="Lucida Sans Unicode" w:cs="Goudy Old Style"/>
          <w:b w:val="0"/>
          <w:bCs w:val="0"/>
          <w:color w:val="auto"/>
          <w:sz w:val="22"/>
          <w:szCs w:val="22"/>
          <w:lang w:eastAsia="en-US"/>
        </w:rPr>
        <w:id w:val="147465804"/>
        <w:docPartObj>
          <w:docPartGallery w:val="Table of Contents"/>
          <w:docPartUnique/>
        </w:docPartObj>
      </w:sdtPr>
      <w:sdtEndPr>
        <w:rPr>
          <w:rFonts w:hint="default" w:ascii="Goudy Old Style" w:hAnsi="Goudy Old Style" w:eastAsia="Lucida Sans Unicode" w:cs="Goudy Old Style"/>
          <w:b w:val="0"/>
          <w:bCs w:val="0"/>
          <w:color w:val="auto"/>
          <w:sz w:val="22"/>
          <w:szCs w:val="22"/>
          <w:lang w:eastAsia="en-US"/>
        </w:rPr>
      </w:sdtEndPr>
      <w:sdtContent>
        <w:p w14:paraId="40569FD9">
          <w:pPr>
            <w:pStyle w:val="15"/>
            <w:numPr>
              <w:ilvl w:val="0"/>
              <w:numId w:val="0"/>
            </w:numPr>
            <w:ind w:leftChars="0"/>
            <w:rPr>
              <w:rFonts w:hint="default" w:ascii="Goudy Old Style" w:hAnsi="Goudy Old Style" w:cs="Goudy Old Style"/>
              <w:color w:val="auto"/>
              <w:sz w:val="24"/>
              <w:szCs w:val="24"/>
            </w:rPr>
          </w:pPr>
          <w:r>
            <w:rPr>
              <w:rFonts w:hint="default" w:ascii="Goudy Old Style" w:hAnsi="Goudy Old Style" w:cs="Goudy Old Style"/>
              <w:color w:val="auto"/>
              <w:sz w:val="24"/>
              <w:szCs w:val="24"/>
            </w:rPr>
            <w:t>Contents</w:t>
          </w:r>
        </w:p>
        <w:p w14:paraId="7E64F26B">
          <w:pPr>
            <w:pStyle w:val="13"/>
            <w:numPr>
              <w:ilvl w:val="0"/>
              <w:numId w:val="0"/>
            </w:numPr>
            <w:tabs>
              <w:tab w:val="right" w:leader="dot" w:pos="8306"/>
            </w:tabs>
            <w:ind w:leftChars="0"/>
          </w:pPr>
          <w:r>
            <w:fldChar w:fldCharType="begin"/>
          </w:r>
          <w:r>
            <w:instrText xml:space="preserve">TOC \o "1-3" \h \u </w:instrText>
          </w:r>
          <w:r>
            <w:fldChar w:fldCharType="separate"/>
          </w:r>
          <w:r>
            <w:fldChar w:fldCharType="begin"/>
          </w:r>
          <w:r>
            <w:instrText xml:space="preserve"> HYPERLINK \l _Toc17932 </w:instrText>
          </w:r>
          <w:r>
            <w:fldChar w:fldCharType="separate"/>
          </w:r>
          <w:r>
            <w:rPr>
              <w:rFonts w:ascii="Goudy Old Style" w:hAnsi="Goudy Old Style"/>
              <w:bCs/>
              <w:szCs w:val="24"/>
            </w:rPr>
            <w:t>TWO-DAY TRAINING PROGRAM OVERVIEW</w:t>
          </w:r>
          <w:r>
            <w:tab/>
          </w:r>
          <w:r>
            <w:fldChar w:fldCharType="begin"/>
          </w:r>
          <w:r>
            <w:instrText xml:space="preserve"> PAGEREF _Toc17932 \h </w:instrText>
          </w:r>
          <w:r>
            <w:fldChar w:fldCharType="separate"/>
          </w:r>
          <w:r>
            <w:t>6</w:t>
          </w:r>
          <w:r>
            <w:fldChar w:fldCharType="end"/>
          </w:r>
          <w:r>
            <w:fldChar w:fldCharType="end"/>
          </w:r>
        </w:p>
        <w:p w14:paraId="2F947E8A">
          <w:pPr>
            <w:pStyle w:val="14"/>
            <w:numPr>
              <w:ilvl w:val="0"/>
              <w:numId w:val="0"/>
            </w:numPr>
            <w:tabs>
              <w:tab w:val="right" w:leader="dot" w:pos="8306"/>
            </w:tabs>
            <w:ind w:leftChars="0"/>
          </w:pPr>
          <w:r>
            <w:fldChar w:fldCharType="begin"/>
          </w:r>
          <w:r>
            <w:instrText xml:space="preserve"> HYPERLINK \l _Toc14155 </w:instrText>
          </w:r>
          <w:r>
            <w:fldChar w:fldCharType="separate"/>
          </w:r>
          <w:r>
            <w:rPr>
              <w:rFonts w:ascii="Goudy Old Style" w:hAnsi="Goudy Old Style"/>
              <w:bCs/>
              <w:szCs w:val="24"/>
            </w:rPr>
            <w:t>Personality Mapping and Understanding Your Leadership Style</w:t>
          </w:r>
          <w:r>
            <w:tab/>
          </w:r>
          <w:r>
            <w:fldChar w:fldCharType="begin"/>
          </w:r>
          <w:r>
            <w:instrText xml:space="preserve"> PAGEREF _Toc14155 \h </w:instrText>
          </w:r>
          <w:r>
            <w:fldChar w:fldCharType="separate"/>
          </w:r>
          <w:r>
            <w:t>6</w:t>
          </w:r>
          <w:r>
            <w:fldChar w:fldCharType="end"/>
          </w:r>
          <w:r>
            <w:fldChar w:fldCharType="end"/>
          </w:r>
        </w:p>
        <w:p w14:paraId="4B1600AF">
          <w:pPr>
            <w:pStyle w:val="14"/>
            <w:numPr>
              <w:ilvl w:val="0"/>
              <w:numId w:val="0"/>
            </w:numPr>
            <w:tabs>
              <w:tab w:val="right" w:leader="dot" w:pos="8306"/>
            </w:tabs>
            <w:ind w:leftChars="0"/>
          </w:pPr>
          <w:r>
            <w:fldChar w:fldCharType="begin"/>
          </w:r>
          <w:r>
            <w:instrText xml:space="preserve"> HYPERLINK \l _Toc28681 </w:instrText>
          </w:r>
          <w:r>
            <w:fldChar w:fldCharType="separate"/>
          </w:r>
          <w:r>
            <w:rPr>
              <w:rFonts w:ascii="Goudy Old Style" w:hAnsi="Goudy Old Style"/>
              <w:bCs/>
              <w:szCs w:val="24"/>
            </w:rPr>
            <w:t>Leading with Purpose and Resilience – Building Inner Strength in Leadership</w:t>
          </w:r>
          <w:r>
            <w:tab/>
          </w:r>
          <w:r>
            <w:fldChar w:fldCharType="begin"/>
          </w:r>
          <w:r>
            <w:instrText xml:space="preserve"> PAGEREF _Toc28681 \h </w:instrText>
          </w:r>
          <w:r>
            <w:fldChar w:fldCharType="separate"/>
          </w:r>
          <w:r>
            <w:t>7</w:t>
          </w:r>
          <w:r>
            <w:fldChar w:fldCharType="end"/>
          </w:r>
          <w:r>
            <w:fldChar w:fldCharType="end"/>
          </w:r>
        </w:p>
        <w:p w14:paraId="35295DFC">
          <w:pPr>
            <w:pStyle w:val="14"/>
            <w:numPr>
              <w:ilvl w:val="0"/>
              <w:numId w:val="0"/>
            </w:numPr>
            <w:tabs>
              <w:tab w:val="right" w:leader="dot" w:pos="8306"/>
            </w:tabs>
            <w:ind w:leftChars="0"/>
          </w:pPr>
          <w:r>
            <w:fldChar w:fldCharType="begin"/>
          </w:r>
          <w:r>
            <w:instrText xml:space="preserve"> HYPERLINK \l _Toc32213 </w:instrText>
          </w:r>
          <w:r>
            <w:fldChar w:fldCharType="separate"/>
          </w:r>
          <w:r>
            <w:rPr>
              <w:rFonts w:ascii="Goudy Old Style" w:hAnsi="Goudy Old Style"/>
              <w:bCs/>
              <w:szCs w:val="24"/>
            </w:rPr>
            <w:t>Corporate Governance under the URSB Regime: Strengthening Accountability in Civil Society Organisations</w:t>
          </w:r>
          <w:r>
            <w:tab/>
          </w:r>
          <w:r>
            <w:fldChar w:fldCharType="begin"/>
          </w:r>
          <w:r>
            <w:instrText xml:space="preserve"> PAGEREF _Toc32213 \h </w:instrText>
          </w:r>
          <w:r>
            <w:fldChar w:fldCharType="separate"/>
          </w:r>
          <w:r>
            <w:t>7</w:t>
          </w:r>
          <w:r>
            <w:fldChar w:fldCharType="end"/>
          </w:r>
          <w:r>
            <w:fldChar w:fldCharType="end"/>
          </w:r>
        </w:p>
        <w:p w14:paraId="72D5E3F1">
          <w:pPr>
            <w:pStyle w:val="14"/>
            <w:numPr>
              <w:ilvl w:val="0"/>
              <w:numId w:val="0"/>
            </w:numPr>
            <w:tabs>
              <w:tab w:val="right" w:leader="dot" w:pos="8306"/>
            </w:tabs>
            <w:ind w:leftChars="0"/>
          </w:pPr>
          <w:r>
            <w:fldChar w:fldCharType="begin"/>
          </w:r>
          <w:r>
            <w:instrText xml:space="preserve"> HYPERLINK \l _Toc21518 </w:instrText>
          </w:r>
          <w:r>
            <w:fldChar w:fldCharType="separate"/>
          </w:r>
          <w:r>
            <w:rPr>
              <w:rFonts w:ascii="Goudy Old Style" w:hAnsi="Goudy Old Style"/>
              <w:bCs/>
              <w:szCs w:val="24"/>
            </w:rPr>
            <w:t>Corporate Governance: Roles, Obligations and Legal Requirements of Directors under Ugandan Law</w:t>
          </w:r>
          <w:r>
            <w:tab/>
          </w:r>
          <w:r>
            <w:fldChar w:fldCharType="begin"/>
          </w:r>
          <w:r>
            <w:instrText xml:space="preserve"> PAGEREF _Toc21518 \h </w:instrText>
          </w:r>
          <w:r>
            <w:fldChar w:fldCharType="separate"/>
          </w:r>
          <w:r>
            <w:t>8</w:t>
          </w:r>
          <w:r>
            <w:fldChar w:fldCharType="end"/>
          </w:r>
          <w:r>
            <w:fldChar w:fldCharType="end"/>
          </w:r>
        </w:p>
        <w:p w14:paraId="4AE29109">
          <w:pPr>
            <w:pStyle w:val="14"/>
            <w:numPr>
              <w:ilvl w:val="0"/>
              <w:numId w:val="0"/>
            </w:numPr>
            <w:tabs>
              <w:tab w:val="right" w:leader="dot" w:pos="8306"/>
            </w:tabs>
            <w:ind w:leftChars="0"/>
          </w:pPr>
          <w:r>
            <w:fldChar w:fldCharType="begin"/>
          </w:r>
          <w:r>
            <w:instrText xml:space="preserve"> HYPERLINK \l _Toc7033 </w:instrText>
          </w:r>
          <w:r>
            <w:fldChar w:fldCharType="separate"/>
          </w:r>
          <w:r>
            <w:rPr>
              <w:rFonts w:ascii="Goudy Old Style" w:hAnsi="Goudy Old Style"/>
              <w:bCs/>
              <w:szCs w:val="24"/>
            </w:rPr>
            <w:t>Fundamentals of Governance for CSOs under Ugandan Law: Building Strong Governance Structures in Line with the NGO Act</w:t>
          </w:r>
          <w:r>
            <w:tab/>
          </w:r>
          <w:r>
            <w:fldChar w:fldCharType="begin"/>
          </w:r>
          <w:r>
            <w:instrText xml:space="preserve"> PAGEREF _Toc7033 \h </w:instrText>
          </w:r>
          <w:r>
            <w:fldChar w:fldCharType="separate"/>
          </w:r>
          <w:r>
            <w:t>8</w:t>
          </w:r>
          <w:r>
            <w:fldChar w:fldCharType="end"/>
          </w:r>
          <w:r>
            <w:fldChar w:fldCharType="end"/>
          </w:r>
        </w:p>
        <w:p w14:paraId="2DFAB737">
          <w:pPr>
            <w:pStyle w:val="14"/>
            <w:numPr>
              <w:ilvl w:val="0"/>
              <w:numId w:val="0"/>
            </w:numPr>
            <w:tabs>
              <w:tab w:val="right" w:leader="dot" w:pos="8306"/>
            </w:tabs>
            <w:ind w:leftChars="0"/>
          </w:pPr>
          <w:r>
            <w:fldChar w:fldCharType="begin"/>
          </w:r>
          <w:r>
            <w:instrText xml:space="preserve"> HYPERLINK \l _Toc19490 </w:instrText>
          </w:r>
          <w:r>
            <w:fldChar w:fldCharType="separate"/>
          </w:r>
          <w:r>
            <w:rPr>
              <w:rFonts w:ascii="Goudy Old Style" w:hAnsi="Goudy Old Style"/>
              <w:bCs/>
              <w:szCs w:val="24"/>
            </w:rPr>
            <w:t>Mastering Influence: The Art of Storytelling in Public Relations for CSO Executives</w:t>
          </w:r>
          <w:r>
            <w:tab/>
          </w:r>
          <w:r>
            <w:fldChar w:fldCharType="begin"/>
          </w:r>
          <w:r>
            <w:instrText xml:space="preserve"> PAGEREF _Toc19490 \h </w:instrText>
          </w:r>
          <w:r>
            <w:fldChar w:fldCharType="separate"/>
          </w:r>
          <w:r>
            <w:t>9</w:t>
          </w:r>
          <w:r>
            <w:fldChar w:fldCharType="end"/>
          </w:r>
          <w:r>
            <w:fldChar w:fldCharType="end"/>
          </w:r>
        </w:p>
        <w:p w14:paraId="12E31BC8">
          <w:pPr>
            <w:pStyle w:val="14"/>
            <w:numPr>
              <w:ilvl w:val="0"/>
              <w:numId w:val="0"/>
            </w:numPr>
            <w:tabs>
              <w:tab w:val="right" w:leader="dot" w:pos="8306"/>
            </w:tabs>
            <w:ind w:leftChars="0"/>
          </w:pPr>
          <w:r>
            <w:fldChar w:fldCharType="begin"/>
          </w:r>
          <w:r>
            <w:instrText xml:space="preserve"> HYPERLINK \l _Toc13785 </w:instrText>
          </w:r>
          <w:r>
            <w:fldChar w:fldCharType="separate"/>
          </w:r>
          <w:r>
            <w:rPr>
              <w:rFonts w:ascii="Goudy Old Style" w:hAnsi="Goudy Old Style"/>
              <w:bCs/>
              <w:szCs w:val="24"/>
            </w:rPr>
            <w:t>Strategic Risk Planning: Crafting a Resilient Future for the Modern CSO</w:t>
          </w:r>
          <w:r>
            <w:tab/>
          </w:r>
          <w:r>
            <w:fldChar w:fldCharType="begin"/>
          </w:r>
          <w:r>
            <w:instrText xml:space="preserve"> PAGEREF _Toc13785 \h </w:instrText>
          </w:r>
          <w:r>
            <w:fldChar w:fldCharType="separate"/>
          </w:r>
          <w:r>
            <w:t>9</w:t>
          </w:r>
          <w:r>
            <w:fldChar w:fldCharType="end"/>
          </w:r>
          <w:r>
            <w:fldChar w:fldCharType="end"/>
          </w:r>
        </w:p>
        <w:p w14:paraId="7C6590B5">
          <w:pPr>
            <w:pStyle w:val="14"/>
            <w:numPr>
              <w:ilvl w:val="0"/>
              <w:numId w:val="0"/>
            </w:numPr>
            <w:tabs>
              <w:tab w:val="right" w:leader="dot" w:pos="8306"/>
            </w:tabs>
            <w:ind w:leftChars="0"/>
          </w:pPr>
          <w:r>
            <w:fldChar w:fldCharType="begin"/>
          </w:r>
          <w:r>
            <w:instrText xml:space="preserve"> HYPERLINK \l _Toc5193 </w:instrText>
          </w:r>
          <w:r>
            <w:fldChar w:fldCharType="separate"/>
          </w:r>
          <w:r>
            <w:rPr>
              <w:rFonts w:ascii="Goudy Old Style" w:hAnsi="Goudy Old Style"/>
              <w:bCs/>
              <w:szCs w:val="24"/>
            </w:rPr>
            <w:t>Closing Remarks and Commissioning of Graduates</w:t>
          </w:r>
          <w:r>
            <w:tab/>
          </w:r>
          <w:r>
            <w:fldChar w:fldCharType="begin"/>
          </w:r>
          <w:r>
            <w:instrText xml:space="preserve"> PAGEREF _Toc5193 \h </w:instrText>
          </w:r>
          <w:r>
            <w:fldChar w:fldCharType="separate"/>
          </w:r>
          <w:r>
            <w:t>10</w:t>
          </w:r>
          <w:r>
            <w:fldChar w:fldCharType="end"/>
          </w:r>
          <w:r>
            <w:fldChar w:fldCharType="end"/>
          </w:r>
        </w:p>
        <w:p w14:paraId="61615A76">
          <w:r>
            <w:fldChar w:fldCharType="end"/>
          </w:r>
        </w:p>
        <w:p w14:paraId="1F95407A">
          <w:pPr>
            <w:keepNext w:val="0"/>
            <w:keepLines w:val="0"/>
            <w:widowControl/>
            <w:numPr>
              <w:ilvl w:val="0"/>
              <w:numId w:val="0"/>
            </w:numPr>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Chars="0" w:right="0" w:rightChars="0"/>
            <w:jc w:val="both"/>
            <w:rPr>
              <w:rFonts w:hint="default" w:ascii="Goudy Old Style" w:hAnsi="Goudy Old Style" w:eastAsia="Lucida Sans Unicode" w:cs="Goudy Old Style"/>
              <w:b w:val="0"/>
              <w:bCs w:val="0"/>
              <w:color w:val="auto"/>
              <w:sz w:val="22"/>
              <w:szCs w:val="22"/>
              <w:lang w:eastAsia="en-US"/>
            </w:rPr>
          </w:pPr>
        </w:p>
      </w:sdtContent>
    </w:sdt>
    <w:p w14:paraId="7BAC0D41">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eastAsia="Lucida Sans Unicode" w:cs="Goudy Old Style"/>
          <w:b w:val="0"/>
          <w:bCs w:val="0"/>
          <w:color w:val="auto"/>
          <w:sz w:val="22"/>
          <w:szCs w:val="22"/>
          <w:lang w:eastAsia="en-US"/>
        </w:rPr>
      </w:pPr>
    </w:p>
    <w:p w14:paraId="6F4ACF07">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cs="Goudy Old Style"/>
          <w:sz w:val="24"/>
          <w:szCs w:val="24"/>
        </w:rPr>
      </w:pPr>
    </w:p>
    <w:p w14:paraId="4BC5EAEC">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cs="Goudy Old Style"/>
          <w:sz w:val="24"/>
          <w:szCs w:val="24"/>
        </w:rPr>
      </w:pPr>
    </w:p>
    <w:p w14:paraId="4392FEBA">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cs="Goudy Old Style"/>
          <w:sz w:val="24"/>
          <w:szCs w:val="24"/>
        </w:rPr>
      </w:pPr>
    </w:p>
    <w:p w14:paraId="4617B0DE">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cs="Goudy Old Style"/>
          <w:sz w:val="24"/>
          <w:szCs w:val="24"/>
        </w:rPr>
      </w:pPr>
    </w:p>
    <w:p w14:paraId="56204730">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cs="Goudy Old Style"/>
          <w:sz w:val="24"/>
          <w:szCs w:val="24"/>
        </w:rPr>
      </w:pPr>
    </w:p>
    <w:p w14:paraId="300F763C">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cs="Goudy Old Style"/>
          <w:sz w:val="24"/>
          <w:szCs w:val="24"/>
        </w:rPr>
      </w:pPr>
    </w:p>
    <w:p w14:paraId="464F9F11">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cs="Goudy Old Style"/>
          <w:sz w:val="24"/>
          <w:szCs w:val="24"/>
        </w:rPr>
      </w:pPr>
    </w:p>
    <w:p w14:paraId="127817A3">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cs="Goudy Old Style"/>
          <w:sz w:val="24"/>
          <w:szCs w:val="24"/>
        </w:rPr>
      </w:pPr>
    </w:p>
    <w:p w14:paraId="06DAA21B">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cs="Goudy Old Style"/>
          <w:sz w:val="24"/>
          <w:szCs w:val="24"/>
        </w:rPr>
      </w:pPr>
    </w:p>
    <w:p w14:paraId="6465EA72">
      <w:pPr>
        <w:keepNext w:val="0"/>
        <w:keepLines w:val="0"/>
        <w:widowControl/>
        <w:numPr>
          <w:ilvl w:val="0"/>
          <w:numId w:val="2"/>
        </w:numPr>
        <w:suppressLineNumbers w:val="0"/>
        <w:tabs>
          <w:tab w:val="clear" w:pos="425"/>
        </w:tabs>
        <w:spacing w:before="0" w:beforeAutospacing="0" w:after="0" w:afterAutospacing="0"/>
        <w:ind w:left="425" w:leftChars="0" w:right="0" w:rightChars="0" w:hanging="425" w:firstLineChars="0"/>
        <w:jc w:val="both"/>
        <w:rPr>
          <w:rFonts w:hint="default" w:ascii="Goudy Old Style" w:hAnsi="Goudy Old Style" w:eastAsia="sans-serif" w:cs="Goudy Old Style"/>
          <w:b/>
          <w:bCs/>
          <w:color w:val="000000"/>
          <w:kern w:val="0"/>
          <w:sz w:val="24"/>
          <w:szCs w:val="24"/>
          <w:u w:val="none"/>
          <w:lang w:val="en-US" w:eastAsia="zh-CN" w:bidi="ar"/>
        </w:rPr>
      </w:pPr>
      <w:r>
        <w:rPr>
          <w:rFonts w:hint="default" w:ascii="Goudy Old Style" w:hAnsi="Goudy Old Style" w:eastAsia="sans-serif" w:cs="Goudy Old Style"/>
          <w:b/>
          <w:bCs/>
          <w:color w:val="000000"/>
          <w:kern w:val="0"/>
          <w:sz w:val="24"/>
          <w:szCs w:val="24"/>
          <w:u w:val="none"/>
          <w:lang w:val="en-US" w:eastAsia="zh-CN" w:bidi="ar"/>
        </w:rPr>
        <w:t>EXECUTIVE SUMMARY</w:t>
      </w:r>
    </w:p>
    <w:p w14:paraId="297FB202">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 xml:space="preserve">The Governance and Accountability Training, concluded on 24th October 2025, was a transformative two-day intervention that equipped 226 CSO leaders (88 in-person, 138 virtual) with actionable governance frameworks, ethical leadership tools, and inclusive advocacy skills — directly addressing Uganda’s most pressing civil society challenges. </w:t>
      </w:r>
    </w:p>
    <w:p w14:paraId="1F9DC81A">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 xml:space="preserve">Funded by the Austrian Development Agency (ADA) and delivered by Fidelis Leadership Institute (FLI), the program reached 62 organizations across governance, health, education, youth, women’s empowerment, and disability inclusion (including 1 PWD leader from IDIWA). </w:t>
      </w:r>
    </w:p>
    <w:p w14:paraId="35EFB8E0">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 xml:space="preserve">With 44% women in-person participation and 100+ post-training action plans, the program triggered immediate institutional reforms in board composition, compliance systems, risk management, and storytelling for public trust — all rooted in the F.A.T. values of Faithfulness, Availability, and Teachability. </w:t>
      </w:r>
    </w:p>
    <w:p w14:paraId="6EE844E8">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 xml:space="preserve">A permanent digital legacy, the full training video archive now live on FLI’s YouTube channel, ensures ongoing, scalable impact for years to come, reaching thousands beyond the original 226 participants. This was not just training. It was a catalyst for systemic change — with tangible, measurable, and enduring impact. </w:t>
      </w:r>
    </w:p>
    <w:p w14:paraId="77BA8C14">
      <w:pPr>
        <w:pStyle w:val="11"/>
        <w:numPr>
          <w:ilvl w:val="0"/>
          <w:numId w:val="0"/>
        </w:numPr>
        <w:ind w:leftChars="0"/>
        <w:jc w:val="both"/>
        <w:rPr>
          <w:rFonts w:ascii="Goudy Old Style" w:hAnsi="Goudy Old Style"/>
        </w:rPr>
      </w:pPr>
      <w:r>
        <w:rPr>
          <w:rFonts w:ascii="Goudy Old Style" w:hAnsi="Goudy Old Style"/>
        </w:rPr>
        <w:t>The training aimed to address the growing demand for accountable and ethical leadership within Uganda’s civil society sector, where leaders face complex challenges from navigating legal frameworks and donor expectations to managing internal governance and maintaining public trust.</w:t>
      </w:r>
    </w:p>
    <w:p w14:paraId="4A9CCCA2">
      <w:pPr>
        <w:pStyle w:val="11"/>
        <w:numPr>
          <w:ilvl w:val="0"/>
          <w:numId w:val="0"/>
        </w:numPr>
        <w:ind w:leftChars="0"/>
        <w:jc w:val="both"/>
        <w:rPr>
          <w:rFonts w:ascii="Goudy Old Style" w:hAnsi="Goudy Old Style"/>
        </w:rPr>
      </w:pPr>
      <w:r>
        <w:rPr>
          <w:rFonts w:ascii="Goudy Old Style" w:hAnsi="Goudy Old Style"/>
        </w:rPr>
        <w:t xml:space="preserve">Blending interactive, case-based learning with value-driven leadership development, the program created a practical and reflective environment. Through experiential sessions, participants explored the principles of </w:t>
      </w:r>
      <w:r>
        <w:rPr>
          <w:rStyle w:val="12"/>
          <w:rFonts w:ascii="Goudy Old Style" w:hAnsi="Goudy Old Style"/>
        </w:rPr>
        <w:t>corporate governance, leadership ethics, and organizational resilience</w:t>
      </w:r>
      <w:r>
        <w:rPr>
          <w:rFonts w:ascii="Goudy Old Style" w:hAnsi="Goudy Old Style"/>
        </w:rPr>
        <w:t xml:space="preserve">, while also gaining </w:t>
      </w:r>
      <w:r>
        <w:rPr>
          <w:rStyle w:val="12"/>
          <w:rFonts w:ascii="Goudy Old Style" w:hAnsi="Goudy Old Style"/>
        </w:rPr>
        <w:t>practical communication tools</w:t>
      </w:r>
      <w:r>
        <w:rPr>
          <w:rFonts w:ascii="Goudy Old Style" w:hAnsi="Goudy Old Style"/>
        </w:rPr>
        <w:t xml:space="preserve"> for advocacy and stakeholder engagement.</w:t>
      </w:r>
    </w:p>
    <w:p w14:paraId="7C6335F2">
      <w:pPr>
        <w:pStyle w:val="11"/>
        <w:numPr>
          <w:ilvl w:val="0"/>
          <w:numId w:val="0"/>
        </w:numPr>
        <w:ind w:leftChars="0"/>
        <w:jc w:val="both"/>
        <w:rPr>
          <w:rFonts w:ascii="Goudy Old Style" w:hAnsi="Goudy Old Style"/>
        </w:rPr>
      </w:pPr>
      <w:r>
        <w:rPr>
          <w:rFonts w:ascii="Goudy Old Style" w:hAnsi="Goudy Old Style"/>
        </w:rPr>
        <w:t xml:space="preserve">One of the key achievements of the training was its </w:t>
      </w:r>
      <w:r>
        <w:rPr>
          <w:rStyle w:val="12"/>
          <w:rFonts w:ascii="Goudy Old Style" w:hAnsi="Goudy Old Style"/>
        </w:rPr>
        <w:t>contribution to advancing gender equality in leadership</w:t>
      </w:r>
      <w:r>
        <w:rPr>
          <w:rFonts w:ascii="Goudy Old Style" w:hAnsi="Goudy Old Style"/>
        </w:rPr>
        <w:t>. The program not only ensured significant female participation but also created an inclusive space where women leaders could share experiences, strengthen their governance capacity, and build confidence in strategic decision-making.</w:t>
      </w:r>
      <w:r>
        <w:rPr>
          <w:rFonts w:ascii="Goudy Old Style" w:hAnsi="Goudy Old Style"/>
        </w:rPr>
        <w:br w:type="textWrapping"/>
      </w:r>
      <w:r>
        <w:rPr>
          <w:rFonts w:ascii="Goudy Old Style" w:hAnsi="Goudy Old Style"/>
        </w:rPr>
        <w:t xml:space="preserve">The emphasis on integrity, transparency, and equitable leadership provided both male and female participants with a deeper understanding of how gender inclusion strengthens institutional governance and accountability. Many participants particularly women in executive and board roles expressed renewed motivation to advocate for </w:t>
      </w:r>
      <w:r>
        <w:rPr>
          <w:rStyle w:val="12"/>
          <w:rFonts w:ascii="Goudy Old Style" w:hAnsi="Goudy Old Style"/>
        </w:rPr>
        <w:t>gender-responsive governance practices</w:t>
      </w:r>
      <w:r>
        <w:rPr>
          <w:rFonts w:ascii="Goudy Old Style" w:hAnsi="Goudy Old Style"/>
        </w:rPr>
        <w:t xml:space="preserve"> within their organizations, including equitable representation on boards, fair recruitment practices, and gender-sensitive accountability mechanisms.</w:t>
      </w:r>
    </w:p>
    <w:p w14:paraId="05196F9E">
      <w:pPr>
        <w:pStyle w:val="11"/>
        <w:numPr>
          <w:ilvl w:val="0"/>
          <w:numId w:val="0"/>
        </w:numPr>
        <w:ind w:leftChars="0"/>
        <w:jc w:val="both"/>
        <w:rPr>
          <w:rFonts w:ascii="Goudy Old Style" w:hAnsi="Goudy Old Style"/>
        </w:rPr>
      </w:pPr>
      <w:r>
        <w:rPr>
          <w:rFonts w:ascii="Goudy Old Style" w:hAnsi="Goudy Old Style"/>
        </w:rPr>
        <w:t xml:space="preserve">By the end of the two days, participants demonstrated a renewed commitment to building </w:t>
      </w:r>
      <w:r>
        <w:rPr>
          <w:rStyle w:val="12"/>
          <w:rFonts w:ascii="Goudy Old Style" w:hAnsi="Goudy Old Style"/>
        </w:rPr>
        <w:t>transparent, compliant, and integrity-driven institutions</w:t>
      </w:r>
      <w:r>
        <w:rPr>
          <w:rFonts w:ascii="Goudy Old Style" w:hAnsi="Goudy Old Style"/>
        </w:rPr>
        <w:t>, aligning their missions, strategies, and leadership practices with Uganda’s legal and ethical frameworks for sustainable impact while championing gender equality as a core pillar of good governance.</w:t>
      </w:r>
    </w:p>
    <w:p w14:paraId="5506825C">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p w14:paraId="4B2F16E1">
      <w:pPr>
        <w:keepNext w:val="0"/>
        <w:keepLines w:val="0"/>
        <w:widowControl/>
        <w:numPr>
          <w:ilvl w:val="0"/>
          <w:numId w:val="2"/>
        </w:numPr>
        <w:suppressLineNumbers w:val="0"/>
        <w:tabs>
          <w:tab w:val="clear" w:pos="425"/>
        </w:tabs>
        <w:spacing w:before="0" w:beforeAutospacing="0" w:after="0" w:afterAutospacing="0"/>
        <w:ind w:left="425" w:leftChars="0" w:right="0" w:rightChars="0" w:hanging="425" w:firstLineChars="0"/>
        <w:jc w:val="both"/>
        <w:rPr>
          <w:rFonts w:ascii="Goudy Old Style" w:hAnsi="Goudy Old Style"/>
          <w:sz w:val="24"/>
          <w:szCs w:val="24"/>
        </w:rPr>
      </w:pPr>
      <w:r>
        <w:rPr>
          <w:rFonts w:hint="default" w:ascii="Goudy Old Style" w:hAnsi="Goudy Old Style" w:eastAsia="sans-serif" w:cs="Goudy Old Style"/>
          <w:b/>
          <w:bCs/>
          <w:color w:val="000000"/>
          <w:kern w:val="0"/>
          <w:sz w:val="24"/>
          <w:szCs w:val="24"/>
          <w:u w:val="none"/>
          <w:lang w:val="en-US" w:eastAsia="zh-CN" w:bidi="ar"/>
        </w:rPr>
        <w:t>BACKGROUND – OUR “WHY” AND “WHAT WE DO”</w:t>
      </w:r>
    </w:p>
    <w:p w14:paraId="749680CE">
      <w:pPr>
        <w:keepNext w:val="0"/>
        <w:keepLines w:val="0"/>
        <w:widowControl/>
        <w:numPr>
          <w:ilvl w:val="0"/>
          <w:numId w:val="0"/>
        </w:numPr>
        <w:suppressLineNumbers w:val="0"/>
        <w:spacing w:before="0" w:beforeAutospacing="0" w:after="0" w:afterAutospacing="0"/>
        <w:ind w:leftChars="0" w:right="0" w:rightChars="0"/>
        <w:jc w:val="both"/>
        <w:rPr>
          <w:rFonts w:ascii="Goudy Old Style" w:hAnsi="Goudy Old Style"/>
          <w:sz w:val="24"/>
          <w:szCs w:val="24"/>
        </w:rPr>
      </w:pPr>
      <w:r>
        <w:rPr>
          <w:rFonts w:hint="default" w:ascii="Goudy Old Style" w:hAnsi="Goudy Old Style" w:eastAsia="sans-serif" w:cs="Goudy Old Style"/>
          <w:color w:val="000000"/>
          <w:kern w:val="0"/>
          <w:sz w:val="24"/>
          <w:szCs w:val="24"/>
          <w:u w:val="none"/>
          <w:lang w:val="en-US" w:eastAsia="zh-CN" w:bidi="ar"/>
        </w:rPr>
        <w:t>Civil Society Organisations (CSOs) are the heartbeat of Uganda’s social progress, amplifying marginalized voices, delivering frontline services, advocating for policy reform, and holding power to account.</w:t>
      </w:r>
      <w:r>
        <w:rPr>
          <w:rFonts w:ascii="Goudy Old Style" w:hAnsi="Goudy Old Style"/>
          <w:sz w:val="24"/>
          <w:szCs w:val="24"/>
        </w:rPr>
        <w:t xml:space="preserve">Yet, despite their critical role, many CSOs continue to grapple with </w:t>
      </w:r>
      <w:r>
        <w:rPr>
          <w:rStyle w:val="12"/>
          <w:rFonts w:ascii="Goudy Old Style" w:hAnsi="Goudy Old Style"/>
          <w:b w:val="0"/>
          <w:sz w:val="24"/>
          <w:szCs w:val="24"/>
        </w:rPr>
        <w:t>systemic governance and leadership</w:t>
      </w:r>
      <w:r>
        <w:rPr>
          <w:rStyle w:val="12"/>
          <w:rFonts w:ascii="Goudy Old Style" w:hAnsi="Goudy Old Style"/>
          <w:sz w:val="24"/>
          <w:szCs w:val="24"/>
        </w:rPr>
        <w:t xml:space="preserve"> challenges</w:t>
      </w:r>
      <w:r>
        <w:rPr>
          <w:rFonts w:ascii="Goudy Old Style" w:hAnsi="Goudy Old Style"/>
          <w:sz w:val="24"/>
          <w:szCs w:val="24"/>
        </w:rPr>
        <w:t xml:space="preserve"> that weaken their operational effectiveness.</w:t>
      </w:r>
    </w:p>
    <w:p w14:paraId="4CD85AFE">
      <w:pPr>
        <w:pStyle w:val="11"/>
        <w:numPr>
          <w:ilvl w:val="0"/>
          <w:numId w:val="0"/>
        </w:numPr>
        <w:ind w:leftChars="0"/>
        <w:jc w:val="both"/>
        <w:rPr>
          <w:rFonts w:ascii="Goudy Old Style" w:hAnsi="Goudy Old Style"/>
          <w:sz w:val="24"/>
          <w:szCs w:val="24"/>
        </w:rPr>
      </w:pPr>
      <w:r>
        <w:rPr>
          <w:rFonts w:ascii="Goudy Old Style" w:hAnsi="Goudy Old Style"/>
          <w:sz w:val="24"/>
          <w:szCs w:val="24"/>
        </w:rPr>
        <w:t>Common challenges include:</w:t>
      </w:r>
    </w:p>
    <w:p w14:paraId="23279B5E">
      <w:pPr>
        <w:pStyle w:val="11"/>
        <w:numPr>
          <w:ilvl w:val="0"/>
          <w:numId w:val="3"/>
        </w:numPr>
        <w:tabs>
          <w:tab w:val="clear" w:pos="425"/>
        </w:tabs>
        <w:ind w:left="425" w:leftChars="0" w:hanging="425" w:firstLineChars="0"/>
        <w:jc w:val="both"/>
        <w:rPr>
          <w:rFonts w:ascii="Goudy Old Style" w:hAnsi="Goudy Old Style"/>
        </w:rPr>
      </w:pPr>
      <w:r>
        <w:rPr>
          <w:rFonts w:ascii="Goudy Old Style" w:hAnsi="Goudy Old Style"/>
        </w:rPr>
        <w:t>Weak internal governance structures and limited understanding of board roles.</w:t>
      </w:r>
    </w:p>
    <w:p w14:paraId="41801780">
      <w:pPr>
        <w:pStyle w:val="11"/>
        <w:numPr>
          <w:ilvl w:val="0"/>
          <w:numId w:val="3"/>
        </w:numPr>
        <w:tabs>
          <w:tab w:val="clear" w:pos="425"/>
        </w:tabs>
        <w:ind w:left="425" w:leftChars="0" w:hanging="425" w:firstLineChars="0"/>
        <w:jc w:val="both"/>
        <w:rPr>
          <w:rFonts w:ascii="Goudy Old Style" w:hAnsi="Goudy Old Style"/>
        </w:rPr>
      </w:pPr>
      <w:r>
        <w:rPr>
          <w:rFonts w:ascii="Goudy Old Style" w:hAnsi="Goudy Old Style"/>
        </w:rPr>
        <w:t>Conflicts between Boards and Executives stemming from unclear mandates.</w:t>
      </w:r>
    </w:p>
    <w:p w14:paraId="6A1265BC">
      <w:pPr>
        <w:pStyle w:val="11"/>
        <w:numPr>
          <w:ilvl w:val="0"/>
          <w:numId w:val="3"/>
        </w:numPr>
        <w:tabs>
          <w:tab w:val="clear" w:pos="425"/>
        </w:tabs>
        <w:ind w:left="425" w:leftChars="0" w:hanging="425" w:firstLineChars="0"/>
        <w:jc w:val="both"/>
        <w:rPr>
          <w:rFonts w:ascii="Goudy Old Style" w:hAnsi="Goudy Old Style"/>
        </w:rPr>
      </w:pPr>
      <w:r>
        <w:rPr>
          <w:rFonts w:ascii="Goudy Old Style" w:hAnsi="Goudy Old Style"/>
        </w:rPr>
        <w:t>Gaps in accountability and compliance with national laws and donor requirements.</w:t>
      </w:r>
    </w:p>
    <w:p w14:paraId="5ED5CE23">
      <w:pPr>
        <w:pStyle w:val="11"/>
        <w:numPr>
          <w:ilvl w:val="0"/>
          <w:numId w:val="3"/>
        </w:numPr>
        <w:tabs>
          <w:tab w:val="clear" w:pos="425"/>
        </w:tabs>
        <w:ind w:left="425" w:leftChars="0" w:hanging="425" w:firstLineChars="0"/>
        <w:jc w:val="both"/>
        <w:rPr>
          <w:rFonts w:ascii="Goudy Old Style" w:hAnsi="Goudy Old Style"/>
        </w:rPr>
      </w:pPr>
      <w:r>
        <w:rPr>
          <w:rFonts w:ascii="Goudy Old Style" w:hAnsi="Goudy Old Style"/>
        </w:rPr>
        <w:t>Limited ethical leadership capacity, resulting in credibility risks and reduced public trust.</w:t>
      </w:r>
    </w:p>
    <w:p w14:paraId="4B5203AF">
      <w:pPr>
        <w:pStyle w:val="11"/>
        <w:numPr>
          <w:ilvl w:val="0"/>
          <w:numId w:val="0"/>
        </w:numPr>
        <w:ind w:leftChars="0"/>
        <w:jc w:val="both"/>
        <w:rPr>
          <w:rFonts w:ascii="Goudy Old Style" w:hAnsi="Goudy Old Style"/>
          <w:b/>
        </w:rPr>
      </w:pPr>
      <w:r>
        <w:rPr>
          <w:rFonts w:ascii="Goudy Old Style" w:hAnsi="Goudy Old Style"/>
        </w:rPr>
        <w:t xml:space="preserve">These gaps threaten the </w:t>
      </w:r>
      <w:r>
        <w:rPr>
          <w:rStyle w:val="12"/>
          <w:rFonts w:ascii="Goudy Old Style" w:hAnsi="Goudy Old Style"/>
          <w:b w:val="0"/>
        </w:rPr>
        <w:t>sustainability, legitimacy, and impact</w:t>
      </w:r>
      <w:r>
        <w:rPr>
          <w:rFonts w:ascii="Goudy Old Style" w:hAnsi="Goudy Old Style"/>
        </w:rPr>
        <w:t xml:space="preserve"> of Uganda’s civil society movement. Recognizing this urgent need, the </w:t>
      </w:r>
      <w:r>
        <w:rPr>
          <w:rStyle w:val="12"/>
          <w:rFonts w:ascii="Goudy Old Style" w:hAnsi="Goudy Old Style"/>
          <w:b w:val="0"/>
        </w:rPr>
        <w:t>Fidelis Leadership Institute (FLI)</w:t>
      </w:r>
      <w:r>
        <w:rPr>
          <w:rFonts w:ascii="Goudy Old Style" w:hAnsi="Goudy Old Style"/>
          <w:b/>
        </w:rPr>
        <w:t xml:space="preserve">, </w:t>
      </w:r>
      <w:r>
        <w:rPr>
          <w:rStyle w:val="12"/>
          <w:rFonts w:ascii="Goudy Old Style" w:hAnsi="Goudy Old Style"/>
          <w:b w:val="0"/>
        </w:rPr>
        <w:t>funded by the Austrian Development Agency (ADA)</w:t>
      </w:r>
      <w:r>
        <w:rPr>
          <w:rFonts w:ascii="Goudy Old Style" w:hAnsi="Goudy Old Style"/>
          <w:b/>
        </w:rPr>
        <w:t>,</w:t>
      </w:r>
      <w:r>
        <w:rPr>
          <w:rFonts w:ascii="Goudy Old Style" w:hAnsi="Goudy Old Style"/>
        </w:rPr>
        <w:t xml:space="preserve"> launched the </w:t>
      </w:r>
      <w:r>
        <w:rPr>
          <w:rStyle w:val="7"/>
          <w:rFonts w:ascii="Goudy Old Style" w:hAnsi="Goudy Old Style"/>
        </w:rPr>
        <w:t>Governance and Accountability Training</w:t>
      </w:r>
      <w:r>
        <w:rPr>
          <w:rFonts w:ascii="Goudy Old Style" w:hAnsi="Goudy Old Style"/>
        </w:rPr>
        <w:t xml:space="preserve"> as a strategic intervention to build a new cadre of </w:t>
      </w:r>
      <w:r>
        <w:rPr>
          <w:rStyle w:val="12"/>
          <w:rFonts w:ascii="Goudy Old Style" w:hAnsi="Goudy Old Style"/>
          <w:b w:val="0"/>
        </w:rPr>
        <w:t>competent, ethical, and visionary CSO leaders.</w:t>
      </w:r>
    </w:p>
    <w:p w14:paraId="24642ACA">
      <w:pPr>
        <w:pStyle w:val="11"/>
        <w:numPr>
          <w:ilvl w:val="0"/>
          <w:numId w:val="0"/>
        </w:numPr>
        <w:ind w:leftChars="0"/>
        <w:jc w:val="both"/>
        <w:rPr>
          <w:rFonts w:ascii="Goudy Old Style" w:hAnsi="Goudy Old Style"/>
        </w:rPr>
      </w:pPr>
      <w:r>
        <w:rPr>
          <w:rFonts w:ascii="Goudy Old Style" w:hAnsi="Goudy Old Style"/>
        </w:rPr>
        <w:t xml:space="preserve">The initiative was designed to strengthen governance frameworks, align leadership practices with national regulatory standards (including the </w:t>
      </w:r>
      <w:r>
        <w:rPr>
          <w:rStyle w:val="12"/>
          <w:rFonts w:ascii="Goudy Old Style" w:hAnsi="Goudy Old Style"/>
          <w:b w:val="0"/>
        </w:rPr>
        <w:t>NGO Act</w:t>
      </w:r>
      <w:r>
        <w:rPr>
          <w:rFonts w:ascii="Goudy Old Style" w:hAnsi="Goudy Old Style"/>
          <w:b/>
        </w:rPr>
        <w:t xml:space="preserve"> and </w:t>
      </w:r>
      <w:r>
        <w:rPr>
          <w:rStyle w:val="12"/>
          <w:rFonts w:ascii="Goudy Old Style" w:hAnsi="Goudy Old Style"/>
          <w:b w:val="0"/>
        </w:rPr>
        <w:t>URSB governance requirements</w:t>
      </w:r>
      <w:r>
        <w:rPr>
          <w:rFonts w:ascii="Goudy Old Style" w:hAnsi="Goudy Old Style"/>
        </w:rPr>
        <w:t>), and nurture leaders who can drive both accountability and innovation within their organizations.</w:t>
      </w:r>
    </w:p>
    <w:p w14:paraId="31CA5589">
      <w:pPr>
        <w:pStyle w:val="11"/>
        <w:numPr>
          <w:ilvl w:val="0"/>
          <w:numId w:val="0"/>
        </w:numPr>
        <w:ind w:leftChars="0"/>
        <w:jc w:val="both"/>
        <w:rPr>
          <w:rFonts w:ascii="Goudy Old Style" w:hAnsi="Goudy Old Style"/>
        </w:rPr>
      </w:pPr>
      <w:r>
        <w:rPr>
          <w:rFonts w:ascii="Goudy Old Style" w:hAnsi="Goudy Old Style"/>
        </w:rPr>
        <w:t xml:space="preserve">By focusing on </w:t>
      </w:r>
      <w:r>
        <w:rPr>
          <w:rStyle w:val="12"/>
          <w:rFonts w:ascii="Goudy Old Style" w:hAnsi="Goudy Old Style"/>
          <w:b w:val="0"/>
        </w:rPr>
        <w:t>value-based leadership and practical governance tools</w:t>
      </w:r>
      <w:r>
        <w:rPr>
          <w:rFonts w:ascii="Goudy Old Style" w:hAnsi="Goudy Old Style"/>
        </w:rPr>
        <w:t>, the training ensured that CSO leaders not only understand compliance but also embody integrity as a cornerstone of sustainable development.</w:t>
      </w:r>
    </w:p>
    <w:p w14:paraId="6344283C">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p w14:paraId="3510A66B">
      <w:pPr>
        <w:keepNext w:val="0"/>
        <w:keepLines w:val="0"/>
        <w:widowControl/>
        <w:numPr>
          <w:ilvl w:val="0"/>
          <w:numId w:val="2"/>
        </w:numPr>
        <w:suppressLineNumbers w:val="0"/>
        <w:spacing w:before="0" w:beforeAutospacing="0" w:after="0" w:afterAutospacing="0"/>
        <w:ind w:left="425" w:leftChars="0" w:right="0" w:rightChars="0" w:hanging="425" w:firstLineChars="0"/>
        <w:jc w:val="both"/>
        <w:rPr>
          <w:rFonts w:hint="default" w:ascii="Goudy Old Style" w:hAnsi="Goudy Old Style" w:eastAsia="sans-serif" w:cs="Goudy Old Style"/>
          <w:b/>
          <w:bCs/>
          <w:color w:val="000000"/>
          <w:kern w:val="0"/>
          <w:sz w:val="24"/>
          <w:szCs w:val="24"/>
          <w:u w:val="none"/>
          <w:lang w:val="en-US" w:eastAsia="zh-CN" w:bidi="ar"/>
        </w:rPr>
      </w:pPr>
      <w:r>
        <w:rPr>
          <w:rFonts w:hint="default" w:ascii="Goudy Old Style" w:hAnsi="Goudy Old Style" w:eastAsia="sans-serif" w:cs="Goudy Old Style"/>
          <w:b/>
          <w:bCs/>
          <w:color w:val="000000"/>
          <w:kern w:val="0"/>
          <w:sz w:val="24"/>
          <w:szCs w:val="24"/>
          <w:u w:val="none"/>
          <w:lang w:val="en-US" w:eastAsia="zh-CN" w:bidi="ar"/>
        </w:rPr>
        <w:t>FIDELIS LEADERSHIP INSTITUTE’S ROLE</w:t>
      </w:r>
    </w:p>
    <w:p w14:paraId="6DBDF326">
      <w:pPr>
        <w:pStyle w:val="11"/>
        <w:numPr>
          <w:ilvl w:val="0"/>
          <w:numId w:val="0"/>
        </w:numPr>
        <w:ind w:leftChars="0"/>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 xml:space="preserve">Founded in 2019, FLI exists to raise transformational leaders across Africa who influence systems with integrity, inspire trust, and drive institutional excellence. FLI’s programs aim at delivering high-impact training through partnerships with governments, embassies, and development agencies. </w:t>
      </w:r>
    </w:p>
    <w:p w14:paraId="45485FAB">
      <w:pPr>
        <w:pStyle w:val="11"/>
        <w:numPr>
          <w:ilvl w:val="0"/>
          <w:numId w:val="0"/>
        </w:numPr>
        <w:ind w:leftChars="0"/>
        <w:rPr>
          <w:rFonts w:ascii="Goudy Old Style" w:hAnsi="Goudy Old Style"/>
        </w:rPr>
      </w:pPr>
      <w:r>
        <w:rPr>
          <w:rFonts w:ascii="Goudy Old Style" w:hAnsi="Goudy Old Style"/>
        </w:rPr>
        <w:t xml:space="preserve">The </w:t>
      </w:r>
      <w:r>
        <w:rPr>
          <w:rStyle w:val="12"/>
          <w:rFonts w:ascii="Goudy Old Style" w:hAnsi="Goudy Old Style"/>
          <w:b w:val="0"/>
        </w:rPr>
        <w:t>Fidelis Leadership Institute (FLI)</w:t>
      </w:r>
      <w:r>
        <w:rPr>
          <w:rFonts w:ascii="Goudy Old Style" w:hAnsi="Goudy Old Style"/>
          <w:b/>
        </w:rPr>
        <w:t xml:space="preserve"> </w:t>
      </w:r>
      <w:r>
        <w:rPr>
          <w:rFonts w:ascii="Goudy Old Style" w:hAnsi="Goudy Old Style"/>
        </w:rPr>
        <w:t>exists to</w:t>
      </w:r>
      <w:r>
        <w:rPr>
          <w:rFonts w:ascii="Goudy Old Style" w:hAnsi="Goudy Old Style"/>
          <w:b/>
        </w:rPr>
        <w:t xml:space="preserve"> </w:t>
      </w:r>
      <w:r>
        <w:rPr>
          <w:rStyle w:val="12"/>
          <w:rFonts w:ascii="Goudy Old Style" w:hAnsi="Goudy Old Style"/>
          <w:b w:val="0"/>
        </w:rPr>
        <w:t>cultivate a generation of ethical, visionary, and transformational leaders</w:t>
      </w:r>
      <w:r>
        <w:rPr>
          <w:rFonts w:ascii="Goudy Old Style" w:hAnsi="Goudy Old Style"/>
        </w:rPr>
        <w:t xml:space="preserve"> across Africa who can influence systems, inspire integrity, and drive institutional transformation.</w:t>
      </w:r>
      <w:r>
        <w:rPr>
          <w:rFonts w:hint="default" w:ascii="Goudy Old Style" w:hAnsi="Goudy Old Style"/>
          <w:lang w:val="en-US"/>
        </w:rPr>
        <w:t xml:space="preserve"> </w:t>
      </w:r>
      <w:r>
        <w:rPr>
          <w:rFonts w:ascii="Goudy Old Style" w:hAnsi="Goudy Old Style"/>
        </w:rPr>
        <w:t xml:space="preserve">Rooted in the Institute’s </w:t>
      </w:r>
      <w:r>
        <w:rPr>
          <w:rStyle w:val="12"/>
          <w:rFonts w:ascii="Goudy Old Style" w:hAnsi="Goudy Old Style"/>
          <w:b w:val="0"/>
        </w:rPr>
        <w:t>F.A.T. values</w:t>
      </w:r>
      <w:r>
        <w:rPr>
          <w:rFonts w:ascii="Goudy Old Style" w:hAnsi="Goudy Old Style"/>
        </w:rPr>
        <w:t xml:space="preserve"> — </w:t>
      </w:r>
      <w:r>
        <w:rPr>
          <w:rStyle w:val="7"/>
          <w:rFonts w:ascii="Goudy Old Style" w:hAnsi="Goudy Old Style"/>
        </w:rPr>
        <w:t>Faithfulness, Availability, and Teachability</w:t>
      </w:r>
      <w:r>
        <w:rPr>
          <w:rFonts w:ascii="Goudy Old Style" w:hAnsi="Goudy Old Style"/>
        </w:rPr>
        <w:t xml:space="preserve"> — FLI’s programs emphasize character-based leadership development that combines professional competence with moral conviction.</w:t>
      </w:r>
    </w:p>
    <w:p w14:paraId="048B0D60">
      <w:pPr>
        <w:pStyle w:val="11"/>
        <w:numPr>
          <w:ilvl w:val="0"/>
          <w:numId w:val="0"/>
        </w:numPr>
        <w:ind w:leftChars="0"/>
        <w:rPr>
          <w:rFonts w:ascii="Goudy Old Style" w:hAnsi="Goudy Old Style"/>
        </w:rPr>
      </w:pPr>
      <w:r>
        <w:rPr>
          <w:rFonts w:ascii="Goudy Old Style" w:hAnsi="Goudy Old Style"/>
        </w:rPr>
        <w:t>Through partnerships with governments, embassies, development agencies, and civil society networks, FLI delivers high-impact leadership programs that:</w:t>
      </w:r>
    </w:p>
    <w:p w14:paraId="658CBEB7">
      <w:pPr>
        <w:pStyle w:val="11"/>
        <w:numPr>
          <w:ilvl w:val="0"/>
          <w:numId w:val="4"/>
        </w:numPr>
        <w:ind w:left="425" w:leftChars="0" w:hanging="425" w:firstLineChars="0"/>
        <w:rPr>
          <w:rFonts w:ascii="Goudy Old Style" w:hAnsi="Goudy Old Style"/>
        </w:rPr>
      </w:pPr>
      <w:r>
        <w:rPr>
          <w:rFonts w:ascii="Goudy Old Style" w:hAnsi="Goudy Old Style"/>
        </w:rPr>
        <w:t>Equip leaders to manage complex governance challenges.</w:t>
      </w:r>
    </w:p>
    <w:p w14:paraId="637D5E13">
      <w:pPr>
        <w:pStyle w:val="11"/>
        <w:numPr>
          <w:ilvl w:val="0"/>
          <w:numId w:val="4"/>
        </w:numPr>
        <w:ind w:left="425" w:leftChars="0" w:hanging="425" w:firstLineChars="0"/>
        <w:rPr>
          <w:rFonts w:ascii="Goudy Old Style" w:hAnsi="Goudy Old Style"/>
        </w:rPr>
      </w:pPr>
      <w:r>
        <w:rPr>
          <w:rFonts w:ascii="Goudy Old Style" w:hAnsi="Goudy Old Style"/>
        </w:rPr>
        <w:t>Build organizational cultures anchored in integrity and accountability.</w:t>
      </w:r>
    </w:p>
    <w:p w14:paraId="5B8EF8CF">
      <w:pPr>
        <w:pStyle w:val="11"/>
        <w:numPr>
          <w:ilvl w:val="0"/>
          <w:numId w:val="4"/>
        </w:numPr>
        <w:ind w:left="425" w:leftChars="0" w:hanging="425" w:firstLineChars="0"/>
        <w:rPr>
          <w:rFonts w:ascii="Goudy Old Style" w:hAnsi="Goudy Old Style"/>
        </w:rPr>
      </w:pPr>
      <w:r>
        <w:rPr>
          <w:rFonts w:ascii="Goudy Old Style" w:hAnsi="Goudy Old Style"/>
        </w:rPr>
        <w:t>Foster collaboration, innovation, and resilience among social impact institutions.</w:t>
      </w:r>
    </w:p>
    <w:p w14:paraId="16EC0B59">
      <w:pPr>
        <w:pStyle w:val="11"/>
        <w:numPr>
          <w:ilvl w:val="0"/>
          <w:numId w:val="0"/>
        </w:numPr>
        <w:ind w:leftChars="0"/>
        <w:rPr>
          <w:rFonts w:ascii="Goudy Old Style" w:hAnsi="Goudy Old Style"/>
        </w:rPr>
      </w:pPr>
      <w:r>
        <w:rPr>
          <w:rFonts w:hint="default" w:ascii="Goudy Old Style" w:hAnsi="Goudy Old Style" w:eastAsia="sans-serif" w:cs="Goudy Old Style"/>
          <w:color w:val="000000"/>
          <w:kern w:val="0"/>
          <w:sz w:val="24"/>
          <w:szCs w:val="24"/>
          <w:u w:val="none"/>
          <w:lang w:val="en-US" w:eastAsia="zh-CN" w:bidi="ar"/>
        </w:rPr>
        <w:t xml:space="preserve">This collaboration with ADA reflects a shared vision: governance and ethics are inseparable from effective leadership. </w:t>
      </w:r>
      <w:r>
        <w:rPr>
          <w:rFonts w:ascii="Goudy Old Style" w:hAnsi="Goudy Old Style"/>
        </w:rPr>
        <w:t>Together, FLI and ADA champion a leadership philosophy that transforms institutions from within — ensuring that Uganda’s civil society ecosystem remains credible, transparent, and sustainable.</w:t>
      </w:r>
    </w:p>
    <w:p w14:paraId="7D1418F8">
      <w:pPr>
        <w:keepNext w:val="0"/>
        <w:keepLines w:val="0"/>
        <w:widowControl/>
        <w:numPr>
          <w:ilvl w:val="0"/>
          <w:numId w:val="1"/>
        </w:numPr>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425" w:leftChars="0" w:right="0" w:hanging="425" w:firstLineChars="0"/>
        <w:jc w:val="both"/>
        <w:rPr>
          <w:rFonts w:hint="default" w:ascii="Goudy Old Style" w:hAnsi="Goudy Old Style" w:cs="Goudy Old Style"/>
          <w:b/>
          <w:bCs/>
          <w:sz w:val="24"/>
          <w:szCs w:val="24"/>
          <w:lang w:val="en-US"/>
        </w:rPr>
      </w:pPr>
      <w:r>
        <w:rPr>
          <w:rFonts w:hint="default" w:ascii="Goudy Old Style" w:hAnsi="Goudy Old Style" w:cs="Goudy Old Style"/>
          <w:b/>
          <w:bCs/>
          <w:sz w:val="24"/>
          <w:szCs w:val="24"/>
          <w:lang w:val="en-US"/>
        </w:rPr>
        <w:t>THE AUSTRIAN DEVELOPMENT AGENCY IN UGANDA</w:t>
      </w:r>
    </w:p>
    <w:p w14:paraId="3077AAA9">
      <w:pPr>
        <w:keepNext w:val="0"/>
        <w:keepLines w:val="0"/>
        <w:widowControl/>
        <w:numPr>
          <w:ilvl w:val="0"/>
          <w:numId w:val="1"/>
        </w:numPr>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425" w:leftChars="0" w:right="0" w:hanging="425" w:firstLineChars="0"/>
        <w:jc w:val="both"/>
        <w:rPr>
          <w:rFonts w:hint="default" w:ascii="Goudy Old Style" w:hAnsi="Goudy Old Style" w:cs="Goudy Old Style"/>
          <w:sz w:val="24"/>
          <w:szCs w:val="24"/>
          <w:lang w:val="en-US"/>
        </w:rPr>
      </w:pPr>
      <w:r>
        <w:rPr>
          <w:rFonts w:hint="default" w:ascii="Goudy Old Style" w:hAnsi="Goudy Old Style" w:cs="Goudy Old Style"/>
          <w:sz w:val="24"/>
          <w:szCs w:val="24"/>
          <w:lang w:val="en-US"/>
        </w:rPr>
        <w:t>The </w:t>
      </w:r>
      <w:r>
        <w:rPr>
          <w:rFonts w:hint="default" w:ascii="Goudy Old Style" w:hAnsi="Goudy Old Style" w:cs="Goudy Old Style"/>
          <w:sz w:val="24"/>
          <w:szCs w:val="24"/>
          <w:lang w:val="en-US"/>
        </w:rPr>
        <w:fldChar w:fldCharType="begin"/>
      </w:r>
      <w:r>
        <w:rPr>
          <w:rFonts w:hint="default" w:ascii="Goudy Old Style" w:hAnsi="Goudy Old Style" w:cs="Goudy Old Style"/>
          <w:sz w:val="24"/>
          <w:szCs w:val="24"/>
          <w:lang w:val="en-US"/>
        </w:rPr>
        <w:instrText xml:space="preserve"> HYPERLINK "https://www.developmentaid.org/organizations/view/279141/austrian-development-agency-ada-uganda" \t "https://www.google.com/_blank" </w:instrText>
      </w:r>
      <w:r>
        <w:rPr>
          <w:rFonts w:hint="default" w:ascii="Goudy Old Style" w:hAnsi="Goudy Old Style" w:cs="Goudy Old Style"/>
          <w:sz w:val="24"/>
          <w:szCs w:val="24"/>
          <w:lang w:val="en-US"/>
        </w:rPr>
        <w:fldChar w:fldCharType="separate"/>
      </w:r>
      <w:r>
        <w:rPr>
          <w:rFonts w:hint="default" w:ascii="Goudy Old Style" w:hAnsi="Goudy Old Style" w:cs="Goudy Old Style"/>
          <w:sz w:val="24"/>
          <w:szCs w:val="24"/>
          <w:lang w:val="en-US"/>
        </w:rPr>
        <w:t>Austrian Development Agency (ADA)</w:t>
      </w:r>
      <w:r>
        <w:rPr>
          <w:rFonts w:hint="default" w:ascii="Goudy Old Style" w:hAnsi="Goudy Old Style" w:cs="Goudy Old Style"/>
          <w:sz w:val="24"/>
          <w:szCs w:val="24"/>
          <w:lang w:val="en-US"/>
        </w:rPr>
        <w:fldChar w:fldCharType="end"/>
      </w:r>
      <w:r>
        <w:rPr>
          <w:rFonts w:hint="default" w:ascii="Goudy Old Style" w:hAnsi="Goudy Old Style" w:cs="Goudy Old Style"/>
          <w:sz w:val="24"/>
          <w:szCs w:val="24"/>
          <w:lang w:val="en-US"/>
        </w:rPr>
        <w:t> has a long-standing development cooperation with Uganda, dating back to the 1980s, with Uganda being a priority country since 1992. Its activities focus on supporting Uganda's National Development Plan, primarily through projects that improve access to safe water and sanitation, and enhance justice, law, and order and governance and accountability. It is with this in mind that the ADA supported this training of CSOs in governance and accountability.</w:t>
      </w:r>
    </w:p>
    <w:p w14:paraId="38F063E5">
      <w:pPr>
        <w:keepNext w:val="0"/>
        <w:keepLines w:val="0"/>
        <w:widowControl/>
        <w:numPr>
          <w:ilvl w:val="0"/>
          <w:numId w:val="2"/>
        </w:numPr>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425" w:leftChars="0" w:right="0" w:rightChars="0" w:hanging="425" w:firstLineChars="0"/>
        <w:jc w:val="both"/>
        <w:rPr>
          <w:rFonts w:hint="default" w:ascii="Goudy Old Style" w:hAnsi="Goudy Old Style" w:eastAsia="sans-serif" w:cs="Goudy Old Style"/>
          <w:b/>
          <w:bCs/>
          <w:color w:val="000000"/>
          <w:kern w:val="0"/>
          <w:sz w:val="24"/>
          <w:szCs w:val="24"/>
          <w:u w:val="none"/>
          <w:lang w:val="en-US" w:eastAsia="zh-CN" w:bidi="ar"/>
        </w:rPr>
      </w:pPr>
      <w:r>
        <w:rPr>
          <w:rFonts w:hint="default" w:ascii="Goudy Old Style" w:hAnsi="Goudy Old Style" w:eastAsia="sans-serif" w:cs="Goudy Old Style"/>
          <w:b/>
          <w:bCs/>
          <w:color w:val="000000"/>
          <w:kern w:val="0"/>
          <w:sz w:val="24"/>
          <w:szCs w:val="24"/>
          <w:u w:val="none"/>
          <w:lang w:val="en-US" w:eastAsia="zh-CN" w:bidi="ar"/>
        </w:rPr>
        <w:t>PROGRAM INTENT</w:t>
      </w:r>
    </w:p>
    <w:p w14:paraId="34CFC5BF">
      <w:pPr>
        <w:pStyle w:val="11"/>
        <w:numPr>
          <w:ilvl w:val="0"/>
          <w:numId w:val="0"/>
        </w:numPr>
        <w:ind w:leftChars="0"/>
        <w:rPr>
          <w:rFonts w:ascii="Goudy Old Style" w:hAnsi="Goudy Old Style"/>
        </w:rPr>
      </w:pPr>
      <w:r>
        <w:rPr>
          <w:rFonts w:ascii="Goudy Old Style" w:hAnsi="Goudy Old Style"/>
        </w:rPr>
        <w:t xml:space="preserve">The </w:t>
      </w:r>
      <w:r>
        <w:rPr>
          <w:rStyle w:val="12"/>
          <w:rFonts w:ascii="Goudy Old Style" w:hAnsi="Goudy Old Style"/>
          <w:b w:val="0"/>
        </w:rPr>
        <w:t>Governance and Accountability Training</w:t>
      </w:r>
      <w:r>
        <w:rPr>
          <w:rFonts w:ascii="Goudy Old Style" w:hAnsi="Goudy Old Style"/>
        </w:rPr>
        <w:t xml:space="preserve"> was intentionally designed to address the unique governance and leadership needs of Uganda’s CSO ecosystem. Its goals were both strategic and transformative:</w:t>
      </w:r>
    </w:p>
    <w:p w14:paraId="21E200DD">
      <w:pPr>
        <w:pStyle w:val="11"/>
        <w:numPr>
          <w:ilvl w:val="0"/>
          <w:numId w:val="5"/>
        </w:numPr>
        <w:ind w:left="425" w:leftChars="0" w:hanging="425" w:firstLineChars="0"/>
        <w:rPr>
          <w:rFonts w:ascii="Goudy Old Style" w:hAnsi="Goudy Old Style"/>
        </w:rPr>
      </w:pPr>
      <w:r>
        <w:rPr>
          <w:rStyle w:val="12"/>
          <w:rFonts w:ascii="Goudy Old Style" w:hAnsi="Goudy Old Style"/>
          <w:b w:val="0"/>
        </w:rPr>
        <w:t>To enhance understanding of governance principles and accountability mechanisms</w:t>
      </w:r>
      <w:r>
        <w:rPr>
          <w:rFonts w:ascii="Goudy Old Style" w:hAnsi="Goudy Old Style"/>
        </w:rPr>
        <w:t xml:space="preserve"> — enabling Boards and Executives to fulfill their fiduciary, strategic, and oversight roles effectively.</w:t>
      </w:r>
    </w:p>
    <w:p w14:paraId="7647D4E8">
      <w:pPr>
        <w:pStyle w:val="11"/>
        <w:numPr>
          <w:ilvl w:val="0"/>
          <w:numId w:val="5"/>
        </w:numPr>
        <w:ind w:left="425" w:leftChars="0" w:hanging="425" w:firstLineChars="0"/>
        <w:rPr>
          <w:rFonts w:ascii="Goudy Old Style" w:hAnsi="Goudy Old Style"/>
        </w:rPr>
      </w:pPr>
      <w:r>
        <w:rPr>
          <w:rStyle w:val="12"/>
          <w:rFonts w:ascii="Goudy Old Style" w:hAnsi="Goudy Old Style"/>
          <w:b w:val="0"/>
        </w:rPr>
        <w:t>To clarify legal and compliance obligations</w:t>
      </w:r>
      <w:r>
        <w:rPr>
          <w:rFonts w:ascii="Goudy Old Style" w:hAnsi="Goudy Old Style"/>
        </w:rPr>
        <w:t xml:space="preserve"> under Ugandan law, particularly those outlined in the NGO Act, the Companies Act, and regulatory frameworks managed by the URSB and NGO Bureau.</w:t>
      </w:r>
    </w:p>
    <w:p w14:paraId="3CBFB215">
      <w:pPr>
        <w:pStyle w:val="11"/>
        <w:numPr>
          <w:ilvl w:val="0"/>
          <w:numId w:val="5"/>
        </w:numPr>
        <w:ind w:left="425" w:leftChars="0" w:hanging="425" w:firstLineChars="0"/>
        <w:rPr>
          <w:rFonts w:ascii="Goudy Old Style" w:hAnsi="Goudy Old Style"/>
        </w:rPr>
      </w:pPr>
      <w:r>
        <w:rPr>
          <w:rStyle w:val="12"/>
          <w:rFonts w:ascii="Goudy Old Style" w:hAnsi="Goudy Old Style"/>
          <w:b w:val="0"/>
        </w:rPr>
        <w:t>To promote ethical and purpose-driven leadership</w:t>
      </w:r>
      <w:r>
        <w:rPr>
          <w:rFonts w:ascii="Goudy Old Style" w:hAnsi="Goudy Old Style"/>
        </w:rPr>
        <w:t>, helping CSO leaders align their organizational missions with values of transparency, fairness, and social responsibility.</w:t>
      </w:r>
    </w:p>
    <w:p w14:paraId="211F9564">
      <w:pPr>
        <w:pStyle w:val="11"/>
        <w:numPr>
          <w:ilvl w:val="0"/>
          <w:numId w:val="5"/>
        </w:numPr>
        <w:ind w:left="425" w:leftChars="0" w:hanging="425" w:firstLineChars="0"/>
        <w:rPr>
          <w:rFonts w:ascii="Goudy Old Style" w:hAnsi="Goudy Old Style"/>
        </w:rPr>
      </w:pPr>
      <w:r>
        <w:rPr>
          <w:rStyle w:val="12"/>
          <w:rFonts w:ascii="Goudy Old Style" w:hAnsi="Goudy Old Style"/>
          <w:b w:val="0"/>
        </w:rPr>
        <w:t>To strengthen communication, storytelling, and advocacy skills</w:t>
      </w:r>
      <w:r>
        <w:rPr>
          <w:rFonts w:ascii="Goudy Old Style" w:hAnsi="Goudy Old Style"/>
        </w:rPr>
        <w:t>, equipping leaders to articulate their impact, inspire stakeholders, and build public trust.</w:t>
      </w:r>
    </w:p>
    <w:p w14:paraId="53B2D4ED">
      <w:pPr>
        <w:pStyle w:val="11"/>
        <w:numPr>
          <w:ilvl w:val="0"/>
          <w:numId w:val="5"/>
        </w:numPr>
        <w:ind w:left="425" w:leftChars="0" w:hanging="425" w:firstLineChars="0"/>
        <w:rPr>
          <w:rFonts w:ascii="Goudy Old Style" w:hAnsi="Goudy Old Style"/>
        </w:rPr>
      </w:pPr>
      <w:r>
        <w:rPr>
          <w:rStyle w:val="12"/>
          <w:rFonts w:ascii="Goudy Old Style" w:hAnsi="Goudy Old Style"/>
          <w:b w:val="0"/>
        </w:rPr>
        <w:t>To build institutional resilience and sustainability</w:t>
      </w:r>
      <w:r>
        <w:rPr>
          <w:rFonts w:ascii="Goudy Old Style" w:hAnsi="Goudy Old Style"/>
        </w:rPr>
        <w:t>, by offering tools for effective governance, conflict resolution, and strategic planning.</w:t>
      </w:r>
    </w:p>
    <w:p w14:paraId="0E9F5966">
      <w:pPr>
        <w:pStyle w:val="11"/>
        <w:numPr>
          <w:ilvl w:val="0"/>
          <w:numId w:val="0"/>
        </w:numPr>
        <w:ind w:leftChars="0"/>
        <w:rPr>
          <w:rFonts w:ascii="Goudy Old Style" w:hAnsi="Goudy Old Style"/>
        </w:rPr>
      </w:pPr>
      <w:r>
        <w:rPr>
          <w:rFonts w:ascii="Goudy Old Style" w:hAnsi="Goudy Old Style"/>
        </w:rPr>
        <w:t xml:space="preserve">Ultimately, the program sought to create a ripple effect — </w:t>
      </w:r>
      <w:r>
        <w:rPr>
          <w:rStyle w:val="12"/>
          <w:rFonts w:ascii="Goudy Old Style" w:hAnsi="Goudy Old Style"/>
          <w:b w:val="0"/>
        </w:rPr>
        <w:t>equipping CSO leaders not only to lead better organizations, but to build a stronger, more accountable civil society sector</w:t>
      </w:r>
      <w:r>
        <w:rPr>
          <w:rFonts w:ascii="Goudy Old Style" w:hAnsi="Goudy Old Style"/>
        </w:rPr>
        <w:t xml:space="preserve"> that models integrity and inspires confidence at every level of Ugandan society.</w:t>
      </w:r>
    </w:p>
    <w:p w14:paraId="1235549B">
      <w:pPr>
        <w:pStyle w:val="3"/>
        <w:numPr>
          <w:ilvl w:val="0"/>
          <w:numId w:val="2"/>
        </w:numPr>
        <w:ind w:left="425" w:leftChars="0" w:hanging="425" w:firstLineChars="0"/>
        <w:rPr>
          <w:rFonts w:ascii="Goudy Old Style" w:hAnsi="Goudy Old Style"/>
          <w:color w:val="auto"/>
          <w:sz w:val="24"/>
          <w:szCs w:val="24"/>
        </w:rPr>
      </w:pPr>
      <w:bookmarkStart w:id="0" w:name="_Toc212487277"/>
      <w:bookmarkStart w:id="1" w:name="_Toc212719086"/>
      <w:bookmarkStart w:id="2" w:name="_Toc17932"/>
      <w:r>
        <w:rPr>
          <w:rStyle w:val="12"/>
          <w:rFonts w:ascii="Goudy Old Style" w:hAnsi="Goudy Old Style"/>
          <w:b/>
          <w:bCs/>
          <w:color w:val="auto"/>
          <w:sz w:val="24"/>
          <w:szCs w:val="24"/>
        </w:rPr>
        <w:t>TWO-DAY TRAINING PROGRAM OVERVIEW</w:t>
      </w:r>
      <w:bookmarkEnd w:id="0"/>
      <w:bookmarkEnd w:id="1"/>
      <w:bookmarkEnd w:id="2"/>
    </w:p>
    <w:p w14:paraId="22FB7AC7">
      <w:pPr>
        <w:pStyle w:val="11"/>
        <w:numPr>
          <w:ilvl w:val="0"/>
          <w:numId w:val="0"/>
        </w:numPr>
        <w:ind w:leftChars="0"/>
        <w:rPr>
          <w:rFonts w:ascii="Goudy Old Style" w:hAnsi="Goudy Old Style"/>
        </w:rPr>
      </w:pPr>
      <w:r>
        <w:rPr>
          <w:rFonts w:ascii="Goudy Old Style" w:hAnsi="Goudy Old Style"/>
        </w:rPr>
        <w:t xml:space="preserve">The training took place on </w:t>
      </w:r>
      <w:r>
        <w:rPr>
          <w:rStyle w:val="12"/>
          <w:rFonts w:ascii="Goudy Old Style" w:hAnsi="Goudy Old Style"/>
        </w:rPr>
        <w:t>Thursday, 23rd October 2025</w:t>
      </w:r>
      <w:r>
        <w:rPr>
          <w:rFonts w:ascii="Goudy Old Style" w:hAnsi="Goudy Old Style"/>
        </w:rPr>
        <w:t xml:space="preserve"> and </w:t>
      </w:r>
      <w:r>
        <w:rPr>
          <w:rStyle w:val="12"/>
          <w:rFonts w:ascii="Goudy Old Style" w:hAnsi="Goudy Old Style"/>
        </w:rPr>
        <w:t>Friday, 24th October 2025</w:t>
      </w:r>
      <w:r>
        <w:rPr>
          <w:rFonts w:ascii="Goudy Old Style" w:hAnsi="Goudy Old Style"/>
        </w:rPr>
        <w:t xml:space="preserve"> at the </w:t>
      </w:r>
      <w:r>
        <w:rPr>
          <w:rStyle w:val="12"/>
          <w:rFonts w:ascii="Goudy Old Style" w:hAnsi="Goudy Old Style"/>
        </w:rPr>
        <w:t>Millennium Terrace Hotel</w:t>
      </w:r>
      <w:r>
        <w:rPr>
          <w:rFonts w:ascii="Goudy Old Style" w:hAnsi="Goudy Old Style"/>
        </w:rPr>
        <w:t>.</w:t>
      </w:r>
      <w:r>
        <w:rPr>
          <w:rFonts w:ascii="Goudy Old Style" w:hAnsi="Goudy Old Style"/>
        </w:rPr>
        <w:br w:type="textWrapping"/>
      </w:r>
      <w:r>
        <w:rPr>
          <w:rFonts w:ascii="Goudy Old Style" w:hAnsi="Goudy Old Style"/>
        </w:rPr>
        <w:t>It featured expert-led sessions, interactive exercises, and peer discussions tailored to two leadership groups:</w:t>
      </w:r>
    </w:p>
    <w:p w14:paraId="24A1EE2D">
      <w:pPr>
        <w:pStyle w:val="11"/>
        <w:numPr>
          <w:ilvl w:val="0"/>
          <w:numId w:val="0"/>
        </w:numPr>
        <w:ind w:leftChars="0"/>
        <w:rPr>
          <w:rFonts w:ascii="Goudy Old Style" w:hAnsi="Goudy Old Style"/>
        </w:rPr>
      </w:pPr>
      <w:r>
        <w:rPr>
          <w:rStyle w:val="12"/>
          <w:rFonts w:ascii="Goudy Old Style" w:hAnsi="Goudy Old Style"/>
        </w:rPr>
        <w:t>Day 1:</w:t>
      </w:r>
      <w:r>
        <w:rPr>
          <w:rFonts w:ascii="Goudy Old Style" w:hAnsi="Goudy Old Style"/>
        </w:rPr>
        <w:t xml:space="preserve"> Board Members and Board Chairs</w:t>
      </w:r>
    </w:p>
    <w:p w14:paraId="733AEB91">
      <w:pPr>
        <w:pStyle w:val="11"/>
        <w:numPr>
          <w:ilvl w:val="0"/>
          <w:numId w:val="0"/>
        </w:numPr>
        <w:ind w:leftChars="0"/>
        <w:rPr>
          <w:rFonts w:ascii="Goudy Old Style" w:hAnsi="Goudy Old Style"/>
        </w:rPr>
      </w:pPr>
      <w:r>
        <w:rPr>
          <w:rStyle w:val="12"/>
          <w:rFonts w:ascii="Goudy Old Style" w:hAnsi="Goudy Old Style"/>
        </w:rPr>
        <w:t>Day 2:</w:t>
      </w:r>
      <w:r>
        <w:rPr>
          <w:rFonts w:ascii="Goudy Old Style" w:hAnsi="Goudy Old Style"/>
        </w:rPr>
        <w:t xml:space="preserve"> Chief Executive Officers and Executive Directors</w:t>
      </w:r>
    </w:p>
    <w:p w14:paraId="6B690713">
      <w:pPr>
        <w:pStyle w:val="16"/>
        <w:numPr>
          <w:ilvl w:val="0"/>
          <w:numId w:val="6"/>
        </w:numPr>
        <w:ind w:left="425" w:leftChars="0" w:hanging="425" w:firstLineChars="0"/>
        <w:rPr>
          <w:rFonts w:ascii="Goudy Old Style" w:hAnsi="Goudy Old Style"/>
          <w:b/>
          <w:bCs/>
          <w:sz w:val="24"/>
          <w:szCs w:val="24"/>
        </w:rPr>
      </w:pPr>
      <w:r>
        <w:rPr>
          <w:rStyle w:val="12"/>
          <w:rFonts w:ascii="Goudy Old Style" w:hAnsi="Goudy Old Style"/>
          <w:b/>
          <w:bCs/>
          <w:sz w:val="24"/>
          <w:szCs w:val="24"/>
        </w:rPr>
        <w:t>Opening Keynote Address – Setting The Tone For Ethical And Sustainable Leadership</w:t>
      </w:r>
    </w:p>
    <w:p w14:paraId="374144DC">
      <w:pPr>
        <w:rPr>
          <w:rFonts w:ascii="Goudy Old Style" w:hAnsi="Goudy Old Style"/>
          <w:b/>
          <w:bCs/>
          <w:sz w:val="24"/>
          <w:szCs w:val="24"/>
        </w:rPr>
      </w:pPr>
    </w:p>
    <w:p w14:paraId="5DFB878F">
      <w:pPr>
        <w:pStyle w:val="11"/>
        <w:numPr>
          <w:ilvl w:val="0"/>
          <w:numId w:val="0"/>
        </w:numPr>
        <w:ind w:leftChars="0"/>
        <w:jc w:val="both"/>
        <w:rPr>
          <w:rFonts w:ascii="Goudy Old Style" w:hAnsi="Goudy Old Style"/>
        </w:rPr>
      </w:pPr>
      <w:r>
        <w:rPr>
          <w:rStyle w:val="12"/>
          <w:rFonts w:ascii="Goudy Old Style" w:hAnsi="Goudy Old Style"/>
        </w:rPr>
        <w:t>Facilitator:</w:t>
      </w:r>
      <w:r>
        <w:rPr>
          <w:rFonts w:ascii="Goudy Old Style" w:hAnsi="Goudy Old Style"/>
        </w:rPr>
        <w:t xml:space="preserve"> </w:t>
      </w:r>
      <w:r>
        <w:rPr>
          <w:rStyle w:val="7"/>
          <w:rFonts w:ascii="Goudy Old Style" w:hAnsi="Goudy Old Style"/>
        </w:rPr>
        <w:t>Mrs. Pheona Nabasa Wall SC, Executive Director – Fidelis Leadership Institute</w:t>
      </w:r>
    </w:p>
    <w:p w14:paraId="158C5869">
      <w:pPr>
        <w:pStyle w:val="11"/>
        <w:numPr>
          <w:ilvl w:val="0"/>
          <w:numId w:val="0"/>
        </w:numPr>
        <w:ind w:leftChars="0"/>
        <w:jc w:val="both"/>
        <w:rPr>
          <w:rFonts w:ascii="Goudy Old Style" w:hAnsi="Goudy Old Style"/>
        </w:rPr>
      </w:pPr>
      <w:r>
        <w:rPr>
          <w:rFonts w:ascii="Goudy Old Style" w:hAnsi="Goudy Old Style"/>
        </w:rPr>
        <w:t>Day 1 and 2 opened with a warm welcome from Ms. Pheona Wall, who re-emphasized the central message of the training that</w:t>
      </w:r>
      <w:r>
        <w:rPr>
          <w:rStyle w:val="7"/>
          <w:rFonts w:ascii="Goudy Old Style" w:hAnsi="Goudy Old Style"/>
        </w:rPr>
        <w:t xml:space="preserve"> ethical and effective governance begins with self-awareness and accountability</w:t>
      </w:r>
      <w:r>
        <w:rPr>
          <w:rFonts w:ascii="Goudy Old Style" w:hAnsi="Goudy Old Style"/>
        </w:rPr>
        <w:t>. She urged participants to internalize the lessons from Day 1 and continue engaging actively in discussions that challenge and refine their leadership approaches.</w:t>
      </w:r>
    </w:p>
    <w:p w14:paraId="4428775B">
      <w:pPr>
        <w:pStyle w:val="11"/>
        <w:numPr>
          <w:ilvl w:val="0"/>
          <w:numId w:val="0"/>
        </w:numPr>
        <w:ind w:leftChars="0"/>
        <w:jc w:val="both"/>
        <w:rPr>
          <w:rFonts w:ascii="Goudy Old Style" w:hAnsi="Goudy Old Style"/>
        </w:rPr>
      </w:pPr>
      <w:r>
        <w:rPr>
          <w:rFonts w:ascii="Goudy Old Style" w:hAnsi="Goudy Old Style"/>
        </w:rPr>
        <w:t>She reminded participants that the true measure of leadership is not titles or recognition but the integrity with which one serves. “Leadership,” she noted, “is about consistent action rooted in values, even when no one is watching.” Her remarks set an inspiring tone for a day focused on strengthening governance structures, compliance, and communication within CSOs.</w:t>
      </w:r>
    </w:p>
    <w:p w14:paraId="5F77B546">
      <w:pPr>
        <w:pStyle w:val="11"/>
        <w:numPr>
          <w:ilvl w:val="0"/>
          <w:numId w:val="0"/>
        </w:numPr>
        <w:ind w:leftChars="0"/>
        <w:jc w:val="both"/>
        <w:rPr>
          <w:rFonts w:ascii="Goudy Old Style" w:hAnsi="Goudy Old Style"/>
        </w:rPr>
      </w:pPr>
      <w:r>
        <w:rPr>
          <w:rStyle w:val="12"/>
          <w:rFonts w:ascii="Goudy Old Style" w:hAnsi="Goudy Old Style"/>
        </w:rPr>
        <w:t>Outcome:</w:t>
      </w:r>
      <w:r>
        <w:rPr>
          <w:rFonts w:ascii="Goudy Old Style" w:hAnsi="Goudy Old Style"/>
        </w:rPr>
        <w:t xml:space="preserve"> Participants were energized and ready to deepen their understanding of corporate governance and leadership accountability.</w:t>
      </w:r>
    </w:p>
    <w:p w14:paraId="0E7228C2">
      <w:pPr>
        <w:rPr>
          <w:rFonts w:ascii="Goudy Old Style" w:hAnsi="Goudy Old Style"/>
          <w:sz w:val="24"/>
          <w:szCs w:val="24"/>
        </w:rPr>
      </w:pPr>
    </w:p>
    <w:p w14:paraId="4C924449">
      <w:pPr>
        <w:pStyle w:val="4"/>
        <w:numPr>
          <w:ilvl w:val="0"/>
          <w:numId w:val="7"/>
        </w:numPr>
        <w:ind w:leftChars="0"/>
        <w:rPr>
          <w:rFonts w:ascii="Goudy Old Style" w:hAnsi="Goudy Old Style"/>
          <w:color w:val="auto"/>
          <w:sz w:val="24"/>
          <w:szCs w:val="24"/>
        </w:rPr>
      </w:pPr>
      <w:bookmarkStart w:id="3" w:name="_Toc14155"/>
      <w:bookmarkStart w:id="4" w:name="_Toc212719087"/>
      <w:r>
        <w:rPr>
          <w:rStyle w:val="12"/>
          <w:rFonts w:ascii="Goudy Old Style" w:hAnsi="Goudy Old Style"/>
          <w:b/>
          <w:bCs/>
          <w:color w:val="auto"/>
          <w:sz w:val="24"/>
          <w:szCs w:val="24"/>
        </w:rPr>
        <w:t>Personality Mapping and Understanding Your Leadership Style</w:t>
      </w:r>
      <w:bookmarkEnd w:id="3"/>
      <w:bookmarkEnd w:id="4"/>
    </w:p>
    <w:p w14:paraId="22528BFF">
      <w:pPr>
        <w:pStyle w:val="11"/>
        <w:numPr>
          <w:ilvl w:val="0"/>
          <w:numId w:val="0"/>
        </w:numPr>
        <w:ind w:leftChars="0"/>
        <w:jc w:val="both"/>
        <w:rPr>
          <w:rFonts w:ascii="Goudy Old Style" w:hAnsi="Goudy Old Style"/>
        </w:rPr>
      </w:pPr>
      <w:r>
        <w:rPr>
          <w:rStyle w:val="12"/>
          <w:rFonts w:ascii="Goudy Old Style" w:hAnsi="Goudy Old Style"/>
        </w:rPr>
        <w:t>Facilitator:</w:t>
      </w:r>
      <w:r>
        <w:rPr>
          <w:rFonts w:ascii="Goudy Old Style" w:hAnsi="Goudy Old Style"/>
        </w:rPr>
        <w:t xml:space="preserve"> </w:t>
      </w:r>
      <w:r>
        <w:rPr>
          <w:rStyle w:val="7"/>
          <w:rFonts w:ascii="Goudy Old Style" w:hAnsi="Goudy Old Style"/>
        </w:rPr>
        <w:t>Mrs. Pheona N. Wall (Day 1 &amp; 2)</w:t>
      </w:r>
    </w:p>
    <w:p w14:paraId="53D1898E">
      <w:pPr>
        <w:pStyle w:val="11"/>
        <w:numPr>
          <w:ilvl w:val="0"/>
          <w:numId w:val="0"/>
        </w:numPr>
        <w:ind w:leftChars="0"/>
        <w:jc w:val="both"/>
        <w:rPr>
          <w:rFonts w:ascii="Goudy Old Style" w:hAnsi="Goudy Old Style"/>
        </w:rPr>
      </w:pPr>
      <w:r>
        <w:rPr>
          <w:rFonts w:ascii="Goudy Old Style" w:hAnsi="Goudy Old Style"/>
        </w:rPr>
        <w:t>This session built upon the self-leadership principles introduced on Day 1. Ms. Wall guided participants through an introspective exploration of personality types and leadership styles, illustrating how self-awareness enhances decision-making and teamwork.</w:t>
      </w:r>
    </w:p>
    <w:p w14:paraId="2896F736">
      <w:pPr>
        <w:pStyle w:val="11"/>
        <w:numPr>
          <w:ilvl w:val="0"/>
          <w:numId w:val="0"/>
        </w:numPr>
        <w:ind w:leftChars="0"/>
        <w:jc w:val="both"/>
        <w:rPr>
          <w:rFonts w:ascii="Goudy Old Style" w:hAnsi="Goudy Old Style"/>
        </w:rPr>
      </w:pPr>
      <w:r>
        <w:rPr>
          <w:rFonts w:ascii="Goudy Old Style" w:hAnsi="Goudy Old Style"/>
        </w:rPr>
        <w:t xml:space="preserve">Through short exercises and guided reflection, participants identified how their dominant leadership traits influence motivation, delegation, and conflict resolution within their organisations. Ms. Wall emphasized that understanding one’s leadership style enables leaders to </w:t>
      </w:r>
      <w:r>
        <w:rPr>
          <w:rStyle w:val="7"/>
          <w:rFonts w:ascii="Goudy Old Style" w:hAnsi="Goudy Old Style"/>
        </w:rPr>
        <w:t>lead authentically, communicate effectively, and manage teams more empathetically.</w:t>
      </w:r>
    </w:p>
    <w:p w14:paraId="4296984D">
      <w:pPr>
        <w:pStyle w:val="11"/>
        <w:numPr>
          <w:ilvl w:val="0"/>
          <w:numId w:val="0"/>
        </w:numPr>
        <w:ind w:leftChars="0"/>
        <w:jc w:val="both"/>
        <w:rPr>
          <w:rFonts w:ascii="Goudy Old Style" w:hAnsi="Goudy Old Style"/>
        </w:rPr>
      </w:pPr>
      <w:r>
        <w:rPr>
          <w:rStyle w:val="12"/>
          <w:rFonts w:ascii="Goudy Old Style" w:hAnsi="Goudy Old Style"/>
        </w:rPr>
        <w:t>Outcome:</w:t>
      </w:r>
      <w:r>
        <w:rPr>
          <w:rFonts w:ascii="Goudy Old Style" w:hAnsi="Goudy Old Style"/>
        </w:rPr>
        <w:t xml:space="preserve"> Participants gained greater clarity on their leadership identities and recognized how emotional intelligence and adaptability can drive stronger organizational performance.</w:t>
      </w:r>
    </w:p>
    <w:p w14:paraId="265D98F7">
      <w:pPr>
        <w:pStyle w:val="4"/>
        <w:numPr>
          <w:ilvl w:val="0"/>
          <w:numId w:val="0"/>
        </w:numPr>
        <w:ind w:leftChars="0"/>
        <w:rPr>
          <w:rFonts w:ascii="Goudy Old Style" w:hAnsi="Goudy Old Style"/>
          <w:color w:val="auto"/>
          <w:sz w:val="24"/>
          <w:szCs w:val="24"/>
        </w:rPr>
      </w:pPr>
      <w:bookmarkStart w:id="5" w:name="_Toc28681"/>
      <w:bookmarkStart w:id="6" w:name="_Toc212719088"/>
      <w:r>
        <w:rPr>
          <w:rStyle w:val="12"/>
          <w:rFonts w:hint="default" w:ascii="Goudy Old Style" w:hAnsi="Goudy Old Style"/>
          <w:b/>
          <w:bCs/>
          <w:color w:val="auto"/>
          <w:sz w:val="24"/>
          <w:szCs w:val="24"/>
          <w:lang w:val="en-US"/>
        </w:rPr>
        <w:t xml:space="preserve">C </w:t>
      </w:r>
      <w:r>
        <w:rPr>
          <w:rStyle w:val="12"/>
          <w:rFonts w:ascii="Goudy Old Style" w:hAnsi="Goudy Old Style"/>
          <w:b/>
          <w:bCs/>
          <w:color w:val="auto"/>
          <w:sz w:val="24"/>
          <w:szCs w:val="24"/>
        </w:rPr>
        <w:t>Leading with Purpose and Resilience – Building Inner Strength in Leadership</w:t>
      </w:r>
      <w:bookmarkEnd w:id="5"/>
      <w:bookmarkEnd w:id="6"/>
    </w:p>
    <w:p w14:paraId="6FC21125">
      <w:pPr>
        <w:pStyle w:val="11"/>
        <w:numPr>
          <w:ilvl w:val="0"/>
          <w:numId w:val="0"/>
        </w:numPr>
        <w:ind w:leftChars="0"/>
        <w:jc w:val="both"/>
        <w:rPr>
          <w:rFonts w:ascii="Goudy Old Style" w:hAnsi="Goudy Old Style"/>
        </w:rPr>
      </w:pPr>
      <w:r>
        <w:rPr>
          <w:rStyle w:val="12"/>
          <w:rFonts w:ascii="Goudy Old Style" w:hAnsi="Goudy Old Style"/>
        </w:rPr>
        <w:t>Facilitator:</w:t>
      </w:r>
      <w:r>
        <w:rPr>
          <w:rFonts w:ascii="Goudy Old Style" w:hAnsi="Goudy Old Style"/>
        </w:rPr>
        <w:t xml:space="preserve"> </w:t>
      </w:r>
      <w:r>
        <w:rPr>
          <w:rStyle w:val="12"/>
          <w:rFonts w:ascii="Goudy Old Style" w:hAnsi="Goudy Old Style"/>
        </w:rPr>
        <w:t>Senior Superintendent of Police</w:t>
      </w:r>
      <w:r>
        <w:rPr>
          <w:rFonts w:ascii="Arial" w:hAnsi="Arial" w:cs="Arial"/>
          <w:color w:val="EEF0FF"/>
        </w:rPr>
        <w:t> </w:t>
      </w:r>
      <w:r>
        <w:rPr>
          <w:rStyle w:val="7"/>
          <w:rFonts w:ascii="Goudy Old Style" w:hAnsi="Goudy Old Style"/>
        </w:rPr>
        <w:t>Tusiime Abdul (Day 1)</w:t>
      </w:r>
    </w:p>
    <w:p w14:paraId="0318BB58">
      <w:pPr>
        <w:pStyle w:val="11"/>
        <w:numPr>
          <w:ilvl w:val="0"/>
          <w:numId w:val="0"/>
        </w:numPr>
        <w:ind w:leftChars="0"/>
        <w:jc w:val="both"/>
        <w:rPr>
          <w:rFonts w:ascii="Goudy Old Style" w:hAnsi="Goudy Old Style"/>
        </w:rPr>
      </w:pPr>
      <w:r>
        <w:rPr>
          <w:rFonts w:ascii="Goudy Old Style" w:hAnsi="Goudy Old Style"/>
        </w:rPr>
        <w:t xml:space="preserve">In this session, SSP Tusiime shared personal lessons on authentic leadership and resilience drawn from his career in disciplined service. He highlighted that </w:t>
      </w:r>
      <w:r>
        <w:rPr>
          <w:rStyle w:val="7"/>
          <w:rFonts w:ascii="Goudy Old Style" w:hAnsi="Goudy Old Style"/>
        </w:rPr>
        <w:t>resilience is built through consistency, adaptability, and emotional strength</w:t>
      </w:r>
      <w:r>
        <w:rPr>
          <w:rFonts w:ascii="Goudy Old Style" w:hAnsi="Goudy Old Style"/>
        </w:rPr>
        <w:t>.</w:t>
      </w:r>
    </w:p>
    <w:p w14:paraId="66D7DF08">
      <w:pPr>
        <w:pStyle w:val="11"/>
        <w:numPr>
          <w:ilvl w:val="0"/>
          <w:numId w:val="0"/>
        </w:numPr>
        <w:ind w:leftChars="0"/>
        <w:jc w:val="both"/>
        <w:rPr>
          <w:rFonts w:ascii="Goudy Old Style" w:hAnsi="Goudy Old Style"/>
        </w:rPr>
      </w:pPr>
      <w:r>
        <w:rPr>
          <w:rFonts w:ascii="Goudy Old Style" w:hAnsi="Goudy Old Style"/>
        </w:rPr>
        <w:t>Participants reflected on personal experiences of challenge and change, identifying coping strategies that foster endurance and authenticity in leadership.</w:t>
      </w:r>
    </w:p>
    <w:p w14:paraId="02941B5E">
      <w:pPr>
        <w:pStyle w:val="11"/>
        <w:numPr>
          <w:ilvl w:val="0"/>
          <w:numId w:val="0"/>
        </w:numPr>
        <w:ind w:leftChars="0"/>
        <w:jc w:val="both"/>
        <w:rPr>
          <w:rFonts w:ascii="Goudy Old Style" w:hAnsi="Goudy Old Style"/>
        </w:rPr>
      </w:pPr>
      <w:r>
        <w:rPr>
          <w:rStyle w:val="12"/>
          <w:rFonts w:ascii="Goudy Old Style" w:hAnsi="Goudy Old Style"/>
        </w:rPr>
        <w:t>Outcome:</w:t>
      </w:r>
      <w:r>
        <w:rPr>
          <w:rFonts w:ascii="Goudy Old Style" w:hAnsi="Goudy Old Style"/>
        </w:rPr>
        <w:t xml:space="preserve"> Participants committed to strengthening emotional intelligence, maintaining focus under pressure, and cultivating purpose-driven resilience in their professional roles.</w:t>
      </w:r>
    </w:p>
    <w:p w14:paraId="06EA8705">
      <w:pPr>
        <w:pStyle w:val="4"/>
        <w:numPr>
          <w:ilvl w:val="0"/>
          <w:numId w:val="0"/>
        </w:numPr>
        <w:ind w:leftChars="0"/>
        <w:rPr>
          <w:rFonts w:ascii="Goudy Old Style" w:hAnsi="Goudy Old Style"/>
          <w:color w:val="auto"/>
          <w:sz w:val="24"/>
          <w:szCs w:val="24"/>
        </w:rPr>
      </w:pPr>
      <w:bookmarkStart w:id="7" w:name="_Toc32213"/>
      <w:bookmarkStart w:id="8" w:name="_Toc212719089"/>
      <w:r>
        <w:rPr>
          <w:rStyle w:val="12"/>
          <w:rFonts w:hint="default" w:ascii="Goudy Old Style" w:hAnsi="Goudy Old Style"/>
          <w:b/>
          <w:bCs/>
          <w:color w:val="auto"/>
          <w:sz w:val="24"/>
          <w:szCs w:val="24"/>
          <w:lang w:val="en-US"/>
        </w:rPr>
        <w:t xml:space="preserve">D </w:t>
      </w:r>
      <w:r>
        <w:rPr>
          <w:rStyle w:val="12"/>
          <w:rFonts w:ascii="Goudy Old Style" w:hAnsi="Goudy Old Style"/>
          <w:b/>
          <w:bCs/>
          <w:color w:val="auto"/>
          <w:sz w:val="24"/>
          <w:szCs w:val="24"/>
        </w:rPr>
        <w:t>Corporate Governance under the URSB Regime: Strengthening Accountability in Civil Society Organisations</w:t>
      </w:r>
      <w:bookmarkEnd w:id="7"/>
      <w:bookmarkEnd w:id="8"/>
    </w:p>
    <w:p w14:paraId="6E4A8230">
      <w:pPr>
        <w:pStyle w:val="11"/>
        <w:numPr>
          <w:ilvl w:val="0"/>
          <w:numId w:val="0"/>
        </w:numPr>
        <w:ind w:leftChars="0"/>
        <w:jc w:val="both"/>
        <w:rPr>
          <w:rFonts w:ascii="Goudy Old Style" w:hAnsi="Goudy Old Style"/>
        </w:rPr>
      </w:pPr>
      <w:r>
        <w:rPr>
          <w:rStyle w:val="12"/>
          <w:rFonts w:ascii="Goudy Old Style" w:hAnsi="Goudy Old Style"/>
        </w:rPr>
        <w:t>Facilitator:</w:t>
      </w:r>
      <w:r>
        <w:rPr>
          <w:rFonts w:ascii="Goudy Old Style" w:hAnsi="Goudy Old Style"/>
        </w:rPr>
        <w:t xml:space="preserve"> </w:t>
      </w:r>
      <w:r>
        <w:rPr>
          <w:rStyle w:val="7"/>
          <w:rFonts w:ascii="Goudy Old Style" w:hAnsi="Goudy Old Style"/>
        </w:rPr>
        <w:t>Mr. Abaho Derrick, Uganda Registration Services Bureau (URSB) Day 1</w:t>
      </w:r>
    </w:p>
    <w:p w14:paraId="3B716530">
      <w:pPr>
        <w:pStyle w:val="11"/>
        <w:numPr>
          <w:ilvl w:val="0"/>
          <w:numId w:val="0"/>
        </w:numPr>
        <w:ind w:leftChars="0"/>
        <w:jc w:val="both"/>
        <w:rPr>
          <w:rFonts w:ascii="Goudy Old Style" w:hAnsi="Goudy Old Style"/>
        </w:rPr>
      </w:pPr>
      <w:r>
        <w:rPr>
          <w:rFonts w:ascii="Goudy Old Style" w:hAnsi="Goudy Old Style"/>
        </w:rPr>
        <w:t xml:space="preserve">Mr. Abaho Derrick delivered a comprehensive session on the </w:t>
      </w:r>
      <w:r>
        <w:rPr>
          <w:rStyle w:val="12"/>
          <w:rFonts w:ascii="Goudy Old Style" w:hAnsi="Goudy Old Style"/>
        </w:rPr>
        <w:t>URSB governance framework</w:t>
      </w:r>
      <w:r>
        <w:rPr>
          <w:rFonts w:ascii="Goudy Old Style" w:hAnsi="Goudy Old Style"/>
        </w:rPr>
        <w:t xml:space="preserve"> and its implications for CSOs operating in Uganda. He underscored that accountability begins with </w:t>
      </w:r>
      <w:r>
        <w:rPr>
          <w:rStyle w:val="7"/>
          <w:rFonts w:ascii="Goudy Old Style" w:hAnsi="Goudy Old Style"/>
        </w:rPr>
        <w:t>legal identity and institutional compliance</w:t>
      </w:r>
      <w:r>
        <w:rPr>
          <w:rFonts w:ascii="Goudy Old Style" w:hAnsi="Goudy Old Style"/>
        </w:rPr>
        <w:t>.</w:t>
      </w:r>
    </w:p>
    <w:p w14:paraId="0233CEA5">
      <w:pPr>
        <w:pStyle w:val="11"/>
        <w:numPr>
          <w:ilvl w:val="0"/>
          <w:numId w:val="0"/>
        </w:numPr>
        <w:ind w:leftChars="0"/>
        <w:jc w:val="both"/>
        <w:rPr>
          <w:rFonts w:ascii="Goudy Old Style" w:hAnsi="Goudy Old Style"/>
        </w:rPr>
      </w:pPr>
      <w:r>
        <w:rPr>
          <w:rFonts w:ascii="Goudy Old Style" w:hAnsi="Goudy Old Style"/>
        </w:rPr>
        <w:t xml:space="preserve">Participants were taken through the </w:t>
      </w:r>
      <w:r>
        <w:rPr>
          <w:rStyle w:val="12"/>
          <w:rFonts w:ascii="Goudy Old Style" w:hAnsi="Goudy Old Style"/>
        </w:rPr>
        <w:t>Companies Act 2012</w:t>
      </w:r>
      <w:r>
        <w:rPr>
          <w:rFonts w:ascii="Goudy Old Style" w:hAnsi="Goudy Old Style"/>
        </w:rPr>
        <w:t xml:space="preserve"> and related regulatory requirements that apply to incorporated CSOs.</w:t>
      </w:r>
    </w:p>
    <w:p w14:paraId="0843B370">
      <w:pPr>
        <w:pStyle w:val="11"/>
        <w:numPr>
          <w:ilvl w:val="0"/>
          <w:numId w:val="0"/>
        </w:numPr>
        <w:ind w:leftChars="0"/>
        <w:jc w:val="both"/>
        <w:rPr>
          <w:rFonts w:ascii="Goudy Old Style" w:hAnsi="Goudy Old Style"/>
        </w:rPr>
      </w:pPr>
      <w:r>
        <w:rPr>
          <w:rFonts w:ascii="Goudy Old Style" w:hAnsi="Goudy Old Style"/>
        </w:rPr>
        <w:t>The session covered:</w:t>
      </w:r>
    </w:p>
    <w:p w14:paraId="284790BA">
      <w:pPr>
        <w:pStyle w:val="11"/>
        <w:numPr>
          <w:ilvl w:val="0"/>
          <w:numId w:val="8"/>
        </w:numPr>
        <w:ind w:left="425" w:leftChars="0" w:hanging="425" w:firstLineChars="0"/>
        <w:jc w:val="both"/>
        <w:rPr>
          <w:rFonts w:ascii="Goudy Old Style" w:hAnsi="Goudy Old Style"/>
        </w:rPr>
      </w:pPr>
      <w:r>
        <w:rPr>
          <w:rFonts w:ascii="Goudy Old Style" w:hAnsi="Goudy Old Style"/>
        </w:rPr>
        <w:t>Proper registration and renewal procedures;</w:t>
      </w:r>
    </w:p>
    <w:p w14:paraId="5C87FC85">
      <w:pPr>
        <w:pStyle w:val="11"/>
        <w:numPr>
          <w:ilvl w:val="0"/>
          <w:numId w:val="8"/>
        </w:numPr>
        <w:ind w:left="425" w:leftChars="0" w:hanging="425" w:firstLineChars="0"/>
        <w:jc w:val="both"/>
        <w:rPr>
          <w:rFonts w:ascii="Goudy Old Style" w:hAnsi="Goudy Old Style"/>
        </w:rPr>
      </w:pPr>
      <w:r>
        <w:rPr>
          <w:rFonts w:ascii="Goudy Old Style" w:hAnsi="Goudy Old Style"/>
        </w:rPr>
        <w:t>Filing of annual returns and maintaining accurate records;</w:t>
      </w:r>
    </w:p>
    <w:p w14:paraId="67EF690F">
      <w:pPr>
        <w:pStyle w:val="11"/>
        <w:numPr>
          <w:ilvl w:val="0"/>
          <w:numId w:val="8"/>
        </w:numPr>
        <w:ind w:left="425" w:leftChars="0" w:hanging="425" w:firstLineChars="0"/>
        <w:jc w:val="both"/>
        <w:rPr>
          <w:rFonts w:ascii="Goudy Old Style" w:hAnsi="Goudy Old Style"/>
        </w:rPr>
      </w:pPr>
      <w:r>
        <w:rPr>
          <w:rFonts w:ascii="Goudy Old Style" w:hAnsi="Goudy Old Style"/>
        </w:rPr>
        <w:t>Board composition and diversity requirements; and</w:t>
      </w:r>
    </w:p>
    <w:p w14:paraId="669E501F">
      <w:pPr>
        <w:pStyle w:val="11"/>
        <w:numPr>
          <w:ilvl w:val="0"/>
          <w:numId w:val="8"/>
        </w:numPr>
        <w:ind w:left="425" w:leftChars="0" w:hanging="425" w:firstLineChars="0"/>
        <w:jc w:val="both"/>
        <w:rPr>
          <w:rFonts w:ascii="Goudy Old Style" w:hAnsi="Goudy Old Style"/>
        </w:rPr>
      </w:pPr>
      <w:r>
        <w:rPr>
          <w:rFonts w:ascii="Goudy Old Style" w:hAnsi="Goudy Old Style"/>
        </w:rPr>
        <w:t>The role of documentation and audit trails in promoting transparency.</w:t>
      </w:r>
    </w:p>
    <w:p w14:paraId="62748FC6">
      <w:pPr>
        <w:pStyle w:val="11"/>
        <w:numPr>
          <w:ilvl w:val="0"/>
          <w:numId w:val="0"/>
        </w:numPr>
        <w:ind w:leftChars="0"/>
        <w:jc w:val="both"/>
        <w:rPr>
          <w:rFonts w:ascii="Goudy Old Style" w:hAnsi="Goudy Old Style"/>
        </w:rPr>
      </w:pPr>
      <w:r>
        <w:rPr>
          <w:rFonts w:ascii="Goudy Old Style" w:hAnsi="Goudy Old Style"/>
        </w:rPr>
        <w:t xml:space="preserve">Mr. Abaho stressed that compliance should be viewed not as a bureaucratic burden but as an </w:t>
      </w:r>
      <w:r>
        <w:rPr>
          <w:rStyle w:val="7"/>
          <w:rFonts w:ascii="Goudy Old Style" w:hAnsi="Goudy Old Style"/>
        </w:rPr>
        <w:t>integral part of strategic governance</w:t>
      </w:r>
      <w:r>
        <w:rPr>
          <w:rFonts w:ascii="Goudy Old Style" w:hAnsi="Goudy Old Style"/>
        </w:rPr>
        <w:t>. Organisations that embrace governance culture, he noted, gain credibility with regulators, donors, and the communities they serve.</w:t>
      </w:r>
    </w:p>
    <w:p w14:paraId="2CBC88F4">
      <w:pPr>
        <w:pStyle w:val="11"/>
        <w:numPr>
          <w:ilvl w:val="0"/>
          <w:numId w:val="0"/>
        </w:numPr>
        <w:ind w:leftChars="0"/>
        <w:jc w:val="both"/>
        <w:rPr>
          <w:rFonts w:ascii="Goudy Old Style" w:hAnsi="Goudy Old Style"/>
        </w:rPr>
      </w:pPr>
      <w:r>
        <w:rPr>
          <w:rStyle w:val="12"/>
          <w:rFonts w:ascii="Goudy Old Style" w:hAnsi="Goudy Old Style"/>
        </w:rPr>
        <w:t>Outcome:</w:t>
      </w:r>
      <w:r>
        <w:rPr>
          <w:rFonts w:ascii="Goudy Old Style" w:hAnsi="Goudy Old Style"/>
        </w:rPr>
        <w:t xml:space="preserve"> Participants gained clear insight into URSB’s expectations and developed action points for strengthening their internal compliance and governance systems.</w:t>
      </w:r>
    </w:p>
    <w:p w14:paraId="57DED34D">
      <w:pPr>
        <w:rPr>
          <w:rFonts w:ascii="Goudy Old Style" w:hAnsi="Goudy Old Style"/>
          <w:sz w:val="24"/>
          <w:szCs w:val="24"/>
        </w:rPr>
      </w:pPr>
    </w:p>
    <w:p w14:paraId="1A5D28EF">
      <w:pPr>
        <w:pStyle w:val="4"/>
        <w:numPr>
          <w:ilvl w:val="0"/>
          <w:numId w:val="0"/>
        </w:numPr>
        <w:ind w:leftChars="0"/>
        <w:rPr>
          <w:rFonts w:ascii="Goudy Old Style" w:hAnsi="Goudy Old Style"/>
          <w:color w:val="auto"/>
          <w:sz w:val="24"/>
          <w:szCs w:val="24"/>
        </w:rPr>
      </w:pPr>
      <w:bookmarkStart w:id="9" w:name="_Toc212719090"/>
      <w:bookmarkStart w:id="10" w:name="_Toc21518"/>
      <w:r>
        <w:rPr>
          <w:rStyle w:val="12"/>
          <w:rFonts w:hint="default" w:ascii="Goudy Old Style" w:hAnsi="Goudy Old Style"/>
          <w:b/>
          <w:bCs/>
          <w:color w:val="auto"/>
          <w:sz w:val="24"/>
          <w:szCs w:val="24"/>
          <w:lang w:val="en-US"/>
        </w:rPr>
        <w:t xml:space="preserve">E </w:t>
      </w:r>
      <w:r>
        <w:rPr>
          <w:rStyle w:val="12"/>
          <w:rFonts w:ascii="Goudy Old Style" w:hAnsi="Goudy Old Style"/>
          <w:b/>
          <w:bCs/>
          <w:color w:val="auto"/>
          <w:sz w:val="24"/>
          <w:szCs w:val="24"/>
        </w:rPr>
        <w:t>Corporate Governance: Roles, Obligations and Legal Requirements of Directors under Ugandan Law</w:t>
      </w:r>
      <w:bookmarkEnd w:id="9"/>
      <w:bookmarkEnd w:id="10"/>
    </w:p>
    <w:p w14:paraId="02F82B40">
      <w:pPr>
        <w:pStyle w:val="11"/>
        <w:numPr>
          <w:ilvl w:val="0"/>
          <w:numId w:val="0"/>
        </w:numPr>
        <w:ind w:leftChars="0"/>
        <w:jc w:val="both"/>
        <w:rPr>
          <w:rFonts w:ascii="Goudy Old Style" w:hAnsi="Goudy Old Style"/>
        </w:rPr>
      </w:pPr>
      <w:r>
        <w:rPr>
          <w:rStyle w:val="12"/>
          <w:rFonts w:ascii="Goudy Old Style" w:hAnsi="Goudy Old Style"/>
        </w:rPr>
        <w:t>Facilitator:</w:t>
      </w:r>
      <w:r>
        <w:rPr>
          <w:rFonts w:ascii="Goudy Old Style" w:hAnsi="Goudy Old Style"/>
        </w:rPr>
        <w:t xml:space="preserve"> </w:t>
      </w:r>
      <w:r>
        <w:rPr>
          <w:rStyle w:val="7"/>
          <w:rFonts w:ascii="Goudy Old Style" w:hAnsi="Goudy Old Style"/>
        </w:rPr>
        <w:t>Caroline Egesa, Uganda Registration Services Bureau (URSB) Day 2</w:t>
      </w:r>
    </w:p>
    <w:p w14:paraId="059FE23D">
      <w:pPr>
        <w:pStyle w:val="11"/>
        <w:numPr>
          <w:ilvl w:val="0"/>
          <w:numId w:val="0"/>
        </w:numPr>
        <w:ind w:leftChars="0"/>
        <w:jc w:val="both"/>
        <w:rPr>
          <w:rFonts w:ascii="Goudy Old Style" w:hAnsi="Goudy Old Style"/>
        </w:rPr>
      </w:pPr>
      <w:r>
        <w:rPr>
          <w:rFonts w:ascii="Goudy Old Style" w:hAnsi="Goudy Old Style"/>
        </w:rPr>
        <w:t xml:space="preserve">Caroline Egesa led an in-depth session on the </w:t>
      </w:r>
      <w:r>
        <w:rPr>
          <w:rStyle w:val="12"/>
          <w:rFonts w:ascii="Goudy Old Style" w:hAnsi="Goudy Old Style"/>
        </w:rPr>
        <w:t>fiduciary duties and legal responsibilities</w:t>
      </w:r>
      <w:r>
        <w:rPr>
          <w:rFonts w:ascii="Goudy Old Style" w:hAnsi="Goudy Old Style"/>
        </w:rPr>
        <w:t xml:space="preserve"> of directors and board members within CSOs. Drawing from the </w:t>
      </w:r>
      <w:r>
        <w:rPr>
          <w:rStyle w:val="12"/>
          <w:rFonts w:ascii="Goudy Old Style" w:hAnsi="Goudy Old Style"/>
        </w:rPr>
        <w:t>Companies Act</w:t>
      </w:r>
      <w:r>
        <w:rPr>
          <w:rFonts w:ascii="Goudy Old Style" w:hAnsi="Goudy Old Style"/>
        </w:rPr>
        <w:t xml:space="preserve"> and </w:t>
      </w:r>
      <w:r>
        <w:rPr>
          <w:rStyle w:val="12"/>
          <w:rFonts w:ascii="Goudy Old Style" w:hAnsi="Goudy Old Style"/>
        </w:rPr>
        <w:t>NGO Act</w:t>
      </w:r>
      <w:r>
        <w:rPr>
          <w:rFonts w:ascii="Goudy Old Style" w:hAnsi="Goudy Old Style"/>
        </w:rPr>
        <w:t>, she explained that directors are not symbolic figures but custodians of institutional integrity.</w:t>
      </w:r>
    </w:p>
    <w:p w14:paraId="61B6E32D">
      <w:pPr>
        <w:pStyle w:val="11"/>
        <w:numPr>
          <w:ilvl w:val="0"/>
          <w:numId w:val="0"/>
        </w:numPr>
        <w:ind w:leftChars="0"/>
        <w:jc w:val="both"/>
        <w:rPr>
          <w:rFonts w:ascii="Goudy Old Style" w:hAnsi="Goudy Old Style"/>
        </w:rPr>
      </w:pPr>
      <w:r>
        <w:rPr>
          <w:rFonts w:ascii="Goudy Old Style" w:hAnsi="Goudy Old Style"/>
        </w:rPr>
        <w:t>Key topics included:</w:t>
      </w:r>
    </w:p>
    <w:p w14:paraId="40361BD7">
      <w:pPr>
        <w:pStyle w:val="11"/>
        <w:numPr>
          <w:ilvl w:val="0"/>
          <w:numId w:val="9"/>
        </w:numPr>
        <w:ind w:left="425" w:leftChars="0" w:hanging="425" w:firstLineChars="0"/>
        <w:jc w:val="both"/>
        <w:rPr>
          <w:rFonts w:ascii="Goudy Old Style" w:hAnsi="Goudy Old Style"/>
        </w:rPr>
      </w:pPr>
      <w:r>
        <w:rPr>
          <w:rFonts w:ascii="Goudy Old Style" w:hAnsi="Goudy Old Style"/>
        </w:rPr>
        <w:t>Distinction between governance and management functions;</w:t>
      </w:r>
    </w:p>
    <w:p w14:paraId="76D6E43D">
      <w:pPr>
        <w:pStyle w:val="11"/>
        <w:numPr>
          <w:ilvl w:val="0"/>
          <w:numId w:val="9"/>
        </w:numPr>
        <w:ind w:left="425" w:leftChars="0" w:hanging="425" w:firstLineChars="0"/>
        <w:jc w:val="both"/>
        <w:rPr>
          <w:rFonts w:ascii="Goudy Old Style" w:hAnsi="Goudy Old Style"/>
        </w:rPr>
      </w:pPr>
      <w:r>
        <w:rPr>
          <w:rFonts w:ascii="Goudy Old Style" w:hAnsi="Goudy Old Style"/>
        </w:rPr>
        <w:t>Fiduciary duties of care, loyalty, and obedience;</w:t>
      </w:r>
    </w:p>
    <w:p w14:paraId="2CFEEFE6">
      <w:pPr>
        <w:pStyle w:val="11"/>
        <w:numPr>
          <w:ilvl w:val="0"/>
          <w:numId w:val="9"/>
        </w:numPr>
        <w:ind w:left="425" w:leftChars="0" w:hanging="425" w:firstLineChars="0"/>
        <w:jc w:val="both"/>
        <w:rPr>
          <w:rFonts w:ascii="Goudy Old Style" w:hAnsi="Goudy Old Style"/>
        </w:rPr>
      </w:pPr>
      <w:r>
        <w:rPr>
          <w:rFonts w:ascii="Goudy Old Style" w:hAnsi="Goudy Old Style"/>
        </w:rPr>
        <w:t>Legal implications of negligence and non-compliance; and</w:t>
      </w:r>
    </w:p>
    <w:p w14:paraId="4B460838">
      <w:pPr>
        <w:pStyle w:val="11"/>
        <w:numPr>
          <w:ilvl w:val="0"/>
          <w:numId w:val="9"/>
        </w:numPr>
        <w:ind w:left="425" w:leftChars="0" w:hanging="425" w:firstLineChars="0"/>
        <w:jc w:val="both"/>
        <w:rPr>
          <w:rFonts w:ascii="Goudy Old Style" w:hAnsi="Goudy Old Style"/>
        </w:rPr>
      </w:pPr>
      <w:r>
        <w:rPr>
          <w:rFonts w:ascii="Goudy Old Style" w:hAnsi="Goudy Old Style"/>
        </w:rPr>
        <w:t>Best practices for board meetings, documentation, and conflict-of-interest management.</w:t>
      </w:r>
    </w:p>
    <w:p w14:paraId="58B638FD">
      <w:pPr>
        <w:pStyle w:val="11"/>
        <w:numPr>
          <w:ilvl w:val="0"/>
          <w:numId w:val="0"/>
        </w:numPr>
        <w:ind w:leftChars="0"/>
        <w:jc w:val="both"/>
        <w:rPr>
          <w:rFonts w:ascii="Goudy Old Style" w:hAnsi="Goudy Old Style"/>
        </w:rPr>
      </w:pPr>
      <w:r>
        <w:rPr>
          <w:rFonts w:ascii="Goudy Old Style" w:hAnsi="Goudy Old Style"/>
        </w:rPr>
        <w:t xml:space="preserve">Ms. Egesa emphasized that </w:t>
      </w:r>
      <w:r>
        <w:rPr>
          <w:rStyle w:val="7"/>
          <w:rFonts w:ascii="Goudy Old Style" w:hAnsi="Goudy Old Style"/>
        </w:rPr>
        <w:t>“good boards build good organisations.”</w:t>
      </w:r>
      <w:r>
        <w:rPr>
          <w:rFonts w:ascii="Goudy Old Style" w:hAnsi="Goudy Old Style"/>
        </w:rPr>
        <w:t xml:space="preserve"> She urged participants to cultivate professional governance cultures that prioritize transparency, strategic foresight, and accountability.</w:t>
      </w:r>
    </w:p>
    <w:p w14:paraId="61B52A49">
      <w:pPr>
        <w:pStyle w:val="11"/>
        <w:numPr>
          <w:ilvl w:val="0"/>
          <w:numId w:val="0"/>
        </w:numPr>
        <w:ind w:leftChars="0"/>
        <w:jc w:val="both"/>
        <w:rPr>
          <w:rFonts w:ascii="Goudy Old Style" w:hAnsi="Goudy Old Style"/>
        </w:rPr>
      </w:pPr>
      <w:r>
        <w:rPr>
          <w:rStyle w:val="12"/>
          <w:rFonts w:ascii="Goudy Old Style" w:hAnsi="Goudy Old Style"/>
        </w:rPr>
        <w:t>Outcome:</w:t>
      </w:r>
      <w:r>
        <w:rPr>
          <w:rFonts w:ascii="Goudy Old Style" w:hAnsi="Goudy Old Style"/>
        </w:rPr>
        <w:t xml:space="preserve"> Participants left the session better equipped to fulfill their governance duties, aware of both the opportunities and legal risks that accompany board leadership roles.</w:t>
      </w:r>
    </w:p>
    <w:p w14:paraId="7E240D54">
      <w:pPr>
        <w:rPr>
          <w:rFonts w:ascii="Goudy Old Style" w:hAnsi="Goudy Old Style"/>
          <w:sz w:val="24"/>
          <w:szCs w:val="24"/>
        </w:rPr>
      </w:pPr>
    </w:p>
    <w:p w14:paraId="4820556A">
      <w:pPr>
        <w:pStyle w:val="4"/>
        <w:numPr>
          <w:ilvl w:val="0"/>
          <w:numId w:val="0"/>
        </w:numPr>
        <w:ind w:leftChars="0"/>
        <w:rPr>
          <w:rFonts w:ascii="Goudy Old Style" w:hAnsi="Goudy Old Style"/>
          <w:color w:val="auto"/>
          <w:sz w:val="24"/>
          <w:szCs w:val="24"/>
        </w:rPr>
      </w:pPr>
      <w:bookmarkStart w:id="11" w:name="_Toc212719091"/>
      <w:bookmarkStart w:id="12" w:name="_Toc7033"/>
      <w:r>
        <w:rPr>
          <w:rStyle w:val="12"/>
          <w:rFonts w:hint="default" w:ascii="Goudy Old Style" w:hAnsi="Goudy Old Style"/>
          <w:b/>
          <w:bCs/>
          <w:color w:val="auto"/>
          <w:sz w:val="24"/>
          <w:szCs w:val="24"/>
          <w:lang w:val="en-US"/>
        </w:rPr>
        <w:t xml:space="preserve">F </w:t>
      </w:r>
      <w:r>
        <w:rPr>
          <w:rStyle w:val="12"/>
          <w:rFonts w:ascii="Goudy Old Style" w:hAnsi="Goudy Old Style"/>
          <w:b/>
          <w:bCs/>
          <w:color w:val="auto"/>
          <w:sz w:val="24"/>
          <w:szCs w:val="24"/>
        </w:rPr>
        <w:t>Fundamentals of Governance for CSOs under Ugandan Law: Building Strong Governance Structures in Line with the NGO Act</w:t>
      </w:r>
      <w:bookmarkEnd w:id="11"/>
      <w:bookmarkEnd w:id="12"/>
    </w:p>
    <w:p w14:paraId="1B798DC4">
      <w:pPr>
        <w:pStyle w:val="11"/>
        <w:numPr>
          <w:ilvl w:val="0"/>
          <w:numId w:val="0"/>
        </w:numPr>
        <w:ind w:leftChars="0"/>
        <w:jc w:val="both"/>
        <w:rPr>
          <w:rFonts w:ascii="Goudy Old Style" w:hAnsi="Goudy Old Style"/>
        </w:rPr>
      </w:pPr>
      <w:r>
        <w:rPr>
          <w:rStyle w:val="12"/>
          <w:rFonts w:ascii="Goudy Old Style" w:hAnsi="Goudy Old Style"/>
        </w:rPr>
        <w:t>Facilitator:</w:t>
      </w:r>
      <w:r>
        <w:rPr>
          <w:rFonts w:ascii="Goudy Old Style" w:hAnsi="Goudy Old Style"/>
        </w:rPr>
        <w:t xml:space="preserve"> </w:t>
      </w:r>
      <w:r>
        <w:rPr>
          <w:rStyle w:val="7"/>
          <w:rFonts w:ascii="Goudy Old Style" w:hAnsi="Goudy Old Style"/>
        </w:rPr>
        <w:t>Dr. Stephen Okello, Executive Director – NGO Bureau (Day 1 &amp; 2)</w:t>
      </w:r>
    </w:p>
    <w:p w14:paraId="21404BE8">
      <w:pPr>
        <w:pStyle w:val="11"/>
        <w:numPr>
          <w:ilvl w:val="0"/>
          <w:numId w:val="0"/>
        </w:numPr>
        <w:ind w:leftChars="0"/>
        <w:jc w:val="both"/>
        <w:rPr>
          <w:rFonts w:ascii="Goudy Old Style" w:hAnsi="Goudy Old Style"/>
        </w:rPr>
      </w:pPr>
      <w:r>
        <w:rPr>
          <w:rFonts w:ascii="Goudy Old Style" w:hAnsi="Goudy Old Style"/>
        </w:rPr>
        <w:t xml:space="preserve">Dr. Okello’s session provided a regulatory overview of how CSOs can align their governance structures with the </w:t>
      </w:r>
      <w:r>
        <w:rPr>
          <w:rStyle w:val="12"/>
          <w:rFonts w:ascii="Goudy Old Style" w:hAnsi="Goudy Old Style"/>
        </w:rPr>
        <w:t>NGO Act 2016</w:t>
      </w:r>
      <w:r>
        <w:rPr>
          <w:rFonts w:ascii="Goudy Old Style" w:hAnsi="Goudy Old Style"/>
        </w:rPr>
        <w:t>. He discussed common compliance challenges, such as weak board oversight, irregular reporting, and inadequate record-keeping.</w:t>
      </w:r>
    </w:p>
    <w:p w14:paraId="3AACC37F">
      <w:pPr>
        <w:pStyle w:val="11"/>
        <w:numPr>
          <w:ilvl w:val="0"/>
          <w:numId w:val="0"/>
        </w:numPr>
        <w:ind w:leftChars="0"/>
        <w:jc w:val="both"/>
        <w:rPr>
          <w:rFonts w:ascii="Goudy Old Style" w:hAnsi="Goudy Old Style"/>
        </w:rPr>
      </w:pPr>
      <w:r>
        <w:rPr>
          <w:rFonts w:ascii="Goudy Old Style" w:hAnsi="Goudy Old Style"/>
        </w:rPr>
        <w:t xml:space="preserve">He urged leaders to treat compliance as </w:t>
      </w:r>
      <w:r>
        <w:rPr>
          <w:rStyle w:val="7"/>
          <w:rFonts w:ascii="Goudy Old Style" w:hAnsi="Goudy Old Style"/>
        </w:rPr>
        <w:t>a living culture, not a checklist</w:t>
      </w:r>
      <w:r>
        <w:rPr>
          <w:rFonts w:ascii="Goudy Old Style" w:hAnsi="Goudy Old Style"/>
        </w:rPr>
        <w:t>, emphasizing that accountability to beneficiaries is as important as accountability to donors or regulators.</w:t>
      </w:r>
    </w:p>
    <w:p w14:paraId="10D4AC2B">
      <w:pPr>
        <w:pStyle w:val="11"/>
        <w:numPr>
          <w:ilvl w:val="0"/>
          <w:numId w:val="0"/>
        </w:numPr>
        <w:ind w:leftChars="0"/>
        <w:jc w:val="both"/>
        <w:rPr>
          <w:rFonts w:ascii="Goudy Old Style" w:hAnsi="Goudy Old Style"/>
        </w:rPr>
      </w:pPr>
      <w:r>
        <w:rPr>
          <w:rFonts w:ascii="Goudy Old Style" w:hAnsi="Goudy Old Style"/>
        </w:rPr>
        <w:t>Participants engaged in an open dialogue on governance renewal, exploring mechanisms such as:</w:t>
      </w:r>
    </w:p>
    <w:p w14:paraId="49DD969B">
      <w:pPr>
        <w:pStyle w:val="11"/>
        <w:numPr>
          <w:ilvl w:val="0"/>
          <w:numId w:val="10"/>
        </w:numPr>
        <w:ind w:left="425" w:leftChars="0" w:hanging="425" w:firstLineChars="0"/>
        <w:jc w:val="both"/>
        <w:rPr>
          <w:rFonts w:ascii="Goudy Old Style" w:hAnsi="Goudy Old Style"/>
        </w:rPr>
      </w:pPr>
      <w:r>
        <w:rPr>
          <w:rFonts w:ascii="Goudy Old Style" w:hAnsi="Goudy Old Style"/>
        </w:rPr>
        <w:t>Periodic board performance evaluations;</w:t>
      </w:r>
    </w:p>
    <w:p w14:paraId="54E79FDC">
      <w:pPr>
        <w:pStyle w:val="11"/>
        <w:numPr>
          <w:ilvl w:val="0"/>
          <w:numId w:val="10"/>
        </w:numPr>
        <w:ind w:left="425" w:leftChars="0" w:hanging="425" w:firstLineChars="0"/>
        <w:jc w:val="both"/>
        <w:rPr>
          <w:rFonts w:ascii="Goudy Old Style" w:hAnsi="Goudy Old Style"/>
        </w:rPr>
      </w:pPr>
      <w:r>
        <w:rPr>
          <w:rFonts w:ascii="Goudy Old Style" w:hAnsi="Goudy Old Style"/>
        </w:rPr>
        <w:t>Clear separation of roles between the board and management;</w:t>
      </w:r>
    </w:p>
    <w:p w14:paraId="54EC95CF">
      <w:pPr>
        <w:pStyle w:val="11"/>
        <w:numPr>
          <w:ilvl w:val="0"/>
          <w:numId w:val="10"/>
        </w:numPr>
        <w:ind w:left="425" w:leftChars="0" w:hanging="425" w:firstLineChars="0"/>
        <w:jc w:val="both"/>
        <w:rPr>
          <w:rFonts w:ascii="Goudy Old Style" w:hAnsi="Goudy Old Style"/>
        </w:rPr>
      </w:pPr>
      <w:r>
        <w:rPr>
          <w:rFonts w:ascii="Goudy Old Style" w:hAnsi="Goudy Old Style"/>
        </w:rPr>
        <w:t>Adoption of codes of ethics and conduct; and</w:t>
      </w:r>
    </w:p>
    <w:p w14:paraId="133C0CB4">
      <w:pPr>
        <w:pStyle w:val="11"/>
        <w:numPr>
          <w:ilvl w:val="0"/>
          <w:numId w:val="10"/>
        </w:numPr>
        <w:ind w:left="425" w:leftChars="0" w:hanging="425" w:firstLineChars="0"/>
        <w:jc w:val="both"/>
        <w:rPr>
          <w:rFonts w:ascii="Goudy Old Style" w:hAnsi="Goudy Old Style"/>
        </w:rPr>
      </w:pPr>
      <w:r>
        <w:rPr>
          <w:rFonts w:ascii="Goudy Old Style" w:hAnsi="Goudy Old Style"/>
        </w:rPr>
        <w:t>Transparent procurement and recruitment processes.</w:t>
      </w:r>
    </w:p>
    <w:p w14:paraId="01C01B74">
      <w:pPr>
        <w:pStyle w:val="11"/>
        <w:numPr>
          <w:ilvl w:val="0"/>
          <w:numId w:val="0"/>
        </w:numPr>
        <w:ind w:leftChars="0"/>
        <w:jc w:val="both"/>
        <w:rPr>
          <w:rFonts w:ascii="Goudy Old Style" w:hAnsi="Goudy Old Style"/>
        </w:rPr>
      </w:pPr>
      <w:r>
        <w:rPr>
          <w:rStyle w:val="12"/>
          <w:rFonts w:ascii="Goudy Old Style" w:hAnsi="Goudy Old Style"/>
        </w:rPr>
        <w:t>Outcome:</w:t>
      </w:r>
      <w:r>
        <w:rPr>
          <w:rFonts w:ascii="Goudy Old Style" w:hAnsi="Goudy Old Style"/>
        </w:rPr>
        <w:t xml:space="preserve"> Participants developed practical steps to strengthen institutional governance and enhance credibility with stakeholders and regulators alike.</w:t>
      </w:r>
    </w:p>
    <w:p w14:paraId="43FFFE11">
      <w:pPr>
        <w:pStyle w:val="4"/>
        <w:numPr>
          <w:ilvl w:val="0"/>
          <w:numId w:val="0"/>
        </w:numPr>
        <w:ind w:leftChars="0"/>
        <w:rPr>
          <w:rFonts w:ascii="Goudy Old Style" w:hAnsi="Goudy Old Style"/>
          <w:color w:val="auto"/>
          <w:sz w:val="24"/>
          <w:szCs w:val="24"/>
        </w:rPr>
      </w:pPr>
      <w:bookmarkStart w:id="13" w:name="_Toc212719092"/>
      <w:bookmarkStart w:id="14" w:name="_Toc19490"/>
      <w:r>
        <w:rPr>
          <w:rStyle w:val="12"/>
          <w:rFonts w:hint="default" w:ascii="Goudy Old Style" w:hAnsi="Goudy Old Style"/>
          <w:b/>
          <w:bCs/>
          <w:color w:val="auto"/>
          <w:sz w:val="24"/>
          <w:szCs w:val="24"/>
          <w:lang w:val="en-US"/>
        </w:rPr>
        <w:t xml:space="preserve">G </w:t>
      </w:r>
      <w:r>
        <w:rPr>
          <w:rStyle w:val="12"/>
          <w:rFonts w:ascii="Goudy Old Style" w:hAnsi="Goudy Old Style"/>
          <w:b/>
          <w:bCs/>
          <w:color w:val="auto"/>
          <w:sz w:val="24"/>
          <w:szCs w:val="24"/>
        </w:rPr>
        <w:t>Mastering Influence: The Art of Storytelling in Public Relations for CSO Executives</w:t>
      </w:r>
      <w:bookmarkEnd w:id="13"/>
      <w:bookmarkEnd w:id="14"/>
    </w:p>
    <w:p w14:paraId="4EC2A139">
      <w:pPr>
        <w:widowControl/>
        <w:numPr>
          <w:ilvl w:val="0"/>
          <w:numId w:val="0"/>
        </w:numPr>
        <w:autoSpaceDE/>
        <w:autoSpaceDN/>
        <w:spacing w:before="100" w:beforeAutospacing="1" w:after="100" w:afterAutospacing="1"/>
        <w:ind w:leftChars="0"/>
        <w:rPr>
          <w:rFonts w:ascii="Goudy Old Style" w:hAnsi="Goudy Old Style" w:eastAsia="Times New Roman" w:cs="Times New Roman"/>
          <w:sz w:val="24"/>
          <w:szCs w:val="24"/>
        </w:rPr>
      </w:pPr>
      <w:r>
        <w:rPr>
          <w:rFonts w:ascii="Goudy Old Style" w:hAnsi="Goudy Old Style" w:eastAsia="Times New Roman" w:cs="Times New Roman"/>
          <w:b/>
          <w:bCs/>
          <w:sz w:val="24"/>
          <w:szCs w:val="24"/>
        </w:rPr>
        <w:t>Facilitator:</w:t>
      </w:r>
      <w:r>
        <w:rPr>
          <w:rFonts w:ascii="Goudy Old Style" w:hAnsi="Goudy Old Style" w:eastAsia="Times New Roman" w:cs="Times New Roman"/>
          <w:sz w:val="24"/>
          <w:szCs w:val="24"/>
        </w:rPr>
        <w:t xml:space="preserve"> </w:t>
      </w:r>
      <w:r>
        <w:rPr>
          <w:rFonts w:ascii="Goudy Old Style" w:hAnsi="Goudy Old Style" w:eastAsia="Times New Roman" w:cs="Times New Roman"/>
          <w:i/>
          <w:iCs/>
          <w:sz w:val="24"/>
          <w:szCs w:val="24"/>
        </w:rPr>
        <w:t>Ms. Precious Collette (DAY 1)</w:t>
      </w:r>
    </w:p>
    <w:p w14:paraId="1BAFF9C0">
      <w:pPr>
        <w:widowControl/>
        <w:numPr>
          <w:ilvl w:val="0"/>
          <w:numId w:val="0"/>
        </w:numPr>
        <w:autoSpaceDE/>
        <w:autoSpaceDN/>
        <w:spacing w:before="100" w:beforeAutospacing="1" w:after="100" w:afterAutospacing="1"/>
        <w:ind w:leftChars="0"/>
        <w:rPr>
          <w:rFonts w:ascii="Goudy Old Style" w:hAnsi="Goudy Old Style" w:eastAsia="Times New Roman" w:cs="Times New Roman"/>
          <w:sz w:val="24"/>
          <w:szCs w:val="24"/>
        </w:rPr>
      </w:pPr>
      <w:r>
        <w:rPr>
          <w:rFonts w:ascii="Goudy Old Style" w:hAnsi="Goudy Old Style" w:eastAsia="Times New Roman" w:cs="Times New Roman"/>
          <w:sz w:val="24"/>
          <w:szCs w:val="24"/>
        </w:rPr>
        <w:t>Ms. Precious Collette delivered an engaging session on the power of storytelling as a leadership and communication tool for CSO executives. She emphasized that storytelling is not just about communication but about influence — shaping perceptions, building trust, and inspiring action.</w:t>
      </w:r>
    </w:p>
    <w:p w14:paraId="490CFFC2">
      <w:pPr>
        <w:widowControl/>
        <w:numPr>
          <w:ilvl w:val="0"/>
          <w:numId w:val="0"/>
        </w:numPr>
        <w:autoSpaceDE/>
        <w:autoSpaceDN/>
        <w:spacing w:before="100" w:beforeAutospacing="1" w:after="100" w:afterAutospacing="1"/>
        <w:ind w:leftChars="0"/>
        <w:rPr>
          <w:rFonts w:ascii="Goudy Old Style" w:hAnsi="Goudy Old Style" w:eastAsia="Times New Roman" w:cs="Times New Roman"/>
          <w:sz w:val="24"/>
          <w:szCs w:val="24"/>
        </w:rPr>
      </w:pPr>
      <w:r>
        <w:rPr>
          <w:rFonts w:ascii="Goudy Old Style" w:hAnsi="Goudy Old Style" w:eastAsia="Times New Roman" w:cs="Times New Roman"/>
          <w:sz w:val="24"/>
          <w:szCs w:val="24"/>
        </w:rPr>
        <w:t>Through practical examples, she demonstrated how authentic, human-centered narratives can enhance visibility, strengthen organisational credibility, and connect emotionally with audiences. Participants learned how to craft clear and relatable stories, use digital platforms effectively, and align messages with their organisation’s mission and values.</w:t>
      </w:r>
    </w:p>
    <w:p w14:paraId="12BC9A7C">
      <w:pPr>
        <w:widowControl/>
        <w:numPr>
          <w:ilvl w:val="0"/>
          <w:numId w:val="0"/>
        </w:numPr>
        <w:autoSpaceDE/>
        <w:autoSpaceDN/>
        <w:spacing w:before="100" w:beforeAutospacing="1" w:after="100" w:afterAutospacing="1"/>
        <w:ind w:leftChars="0"/>
        <w:rPr>
          <w:rFonts w:ascii="Goudy Old Style" w:hAnsi="Goudy Old Style" w:eastAsia="Times New Roman" w:cs="Times New Roman"/>
          <w:sz w:val="24"/>
          <w:szCs w:val="24"/>
        </w:rPr>
      </w:pPr>
      <w:r>
        <w:rPr>
          <w:rFonts w:ascii="Goudy Old Style" w:hAnsi="Goudy Old Style" w:eastAsia="Times New Roman" w:cs="Times New Roman"/>
          <w:b/>
          <w:bCs/>
          <w:sz w:val="24"/>
          <w:szCs w:val="24"/>
        </w:rPr>
        <w:t>Outcome:</w:t>
      </w:r>
      <w:r>
        <w:rPr>
          <w:rFonts w:ascii="Goudy Old Style" w:hAnsi="Goudy Old Style" w:eastAsia="Times New Roman" w:cs="Times New Roman"/>
          <w:sz w:val="24"/>
          <w:szCs w:val="24"/>
        </w:rPr>
        <w:br w:type="textWrapping"/>
      </w:r>
      <w:r>
        <w:rPr>
          <w:rFonts w:ascii="Goudy Old Style" w:hAnsi="Goudy Old Style" w:eastAsia="Times New Roman" w:cs="Times New Roman"/>
          <w:sz w:val="24"/>
          <w:szCs w:val="24"/>
        </w:rPr>
        <w:t>Participants gained practical storytelling skills and confidence to communicate their impact more effectively, using authentic narratives to inspire trust and advocacy within their communities.</w:t>
      </w:r>
    </w:p>
    <w:p w14:paraId="687F34D3">
      <w:pPr>
        <w:pStyle w:val="11"/>
        <w:rPr>
          <w:rStyle w:val="12"/>
          <w:rFonts w:ascii="Goudy Old Style" w:hAnsi="Goudy Old Style"/>
        </w:rPr>
      </w:pPr>
    </w:p>
    <w:p w14:paraId="731A822D">
      <w:pPr>
        <w:pStyle w:val="11"/>
        <w:numPr>
          <w:ilvl w:val="0"/>
          <w:numId w:val="0"/>
        </w:numPr>
        <w:ind w:leftChars="0"/>
        <w:rPr>
          <w:rFonts w:ascii="Goudy Old Style" w:hAnsi="Goudy Old Style"/>
        </w:rPr>
      </w:pPr>
      <w:r>
        <w:rPr>
          <w:rStyle w:val="12"/>
          <w:rFonts w:hint="default" w:ascii="Goudy Old Style" w:hAnsi="Goudy Old Style"/>
          <w:lang w:val="en-US"/>
        </w:rPr>
        <w:t xml:space="preserve">H </w:t>
      </w:r>
      <w:r>
        <w:rPr>
          <w:rStyle w:val="12"/>
          <w:rFonts w:ascii="Goudy Old Style" w:hAnsi="Goudy Old Style"/>
        </w:rPr>
        <w:t>Facilitator:</w:t>
      </w:r>
      <w:r>
        <w:rPr>
          <w:rFonts w:ascii="Goudy Old Style" w:hAnsi="Goudy Old Style"/>
        </w:rPr>
        <w:t xml:space="preserve"> </w:t>
      </w:r>
      <w:r>
        <w:rPr>
          <w:rStyle w:val="7"/>
          <w:rFonts w:ascii="Goudy Old Style" w:hAnsi="Goudy Old Style"/>
        </w:rPr>
        <w:t>Tina Wamala, MCIPR (Day 2)</w:t>
      </w:r>
    </w:p>
    <w:p w14:paraId="5B00FE65">
      <w:pPr>
        <w:pStyle w:val="11"/>
        <w:numPr>
          <w:ilvl w:val="0"/>
          <w:numId w:val="0"/>
        </w:numPr>
        <w:ind w:leftChars="0"/>
        <w:rPr>
          <w:rFonts w:ascii="Goudy Old Style" w:hAnsi="Goudy Old Style"/>
        </w:rPr>
      </w:pPr>
      <w:r>
        <w:rPr>
          <w:rFonts w:ascii="Goudy Old Style" w:hAnsi="Goudy Old Style"/>
        </w:rPr>
        <w:t xml:space="preserve">Tina Wamala led one of the most engaging sessions of the day, focusing on </w:t>
      </w:r>
      <w:r>
        <w:rPr>
          <w:rStyle w:val="12"/>
          <w:rFonts w:ascii="Goudy Old Style" w:hAnsi="Goudy Old Style"/>
        </w:rPr>
        <w:t>storytelling as a tool for influence and advocacy</w:t>
      </w:r>
      <w:r>
        <w:rPr>
          <w:rFonts w:ascii="Goudy Old Style" w:hAnsi="Goudy Old Style"/>
        </w:rPr>
        <w:t xml:space="preserve">. She explained that while data informs, </w:t>
      </w:r>
      <w:r>
        <w:rPr>
          <w:rStyle w:val="7"/>
          <w:rFonts w:ascii="Goudy Old Style" w:hAnsi="Goudy Old Style"/>
        </w:rPr>
        <w:t>stories inspire</w:t>
      </w:r>
      <w:r>
        <w:rPr>
          <w:rFonts w:ascii="Goudy Old Style" w:hAnsi="Goudy Old Style"/>
        </w:rPr>
        <w:t>, and leaders must learn to communicate their impact through relatable narratives.</w:t>
      </w:r>
    </w:p>
    <w:p w14:paraId="502C40E2">
      <w:pPr>
        <w:pStyle w:val="11"/>
        <w:numPr>
          <w:ilvl w:val="0"/>
          <w:numId w:val="0"/>
        </w:numPr>
        <w:ind w:leftChars="0"/>
        <w:rPr>
          <w:rFonts w:ascii="Goudy Old Style" w:hAnsi="Goudy Old Style"/>
        </w:rPr>
      </w:pPr>
      <w:r>
        <w:rPr>
          <w:rFonts w:ascii="Goudy Old Style" w:hAnsi="Goudy Old Style"/>
        </w:rPr>
        <w:t>Using the STAR method (Situation, Task, Action, Result), she guided participants in crafting human-centered stories that demonstrate their organisations’ contributions to social transformation.</w:t>
      </w:r>
    </w:p>
    <w:p w14:paraId="4CC1EFEC">
      <w:pPr>
        <w:pStyle w:val="11"/>
        <w:numPr>
          <w:ilvl w:val="0"/>
          <w:numId w:val="0"/>
        </w:numPr>
        <w:ind w:leftChars="0"/>
        <w:rPr>
          <w:rFonts w:ascii="Goudy Old Style" w:hAnsi="Goudy Old Style"/>
        </w:rPr>
      </w:pPr>
      <w:r>
        <w:rPr>
          <w:rStyle w:val="12"/>
          <w:rFonts w:ascii="Goudy Old Style" w:hAnsi="Goudy Old Style"/>
        </w:rPr>
        <w:t>Outcome:</w:t>
      </w:r>
      <w:r>
        <w:rPr>
          <w:rFonts w:ascii="Goudy Old Style" w:hAnsi="Goudy Old Style"/>
        </w:rPr>
        <w:t xml:space="preserve"> Participants gained practical skills in narrative framing, confident communication, and emotional storytelling skills essential for advocacy, visibility, and stakeholder engagement.</w:t>
      </w:r>
    </w:p>
    <w:p w14:paraId="471E180F">
      <w:pPr>
        <w:pStyle w:val="4"/>
        <w:numPr>
          <w:ilvl w:val="0"/>
          <w:numId w:val="0"/>
        </w:numPr>
        <w:ind w:leftChars="0"/>
        <w:rPr>
          <w:rFonts w:ascii="Goudy Old Style" w:hAnsi="Goudy Old Style"/>
          <w:color w:val="auto"/>
          <w:sz w:val="24"/>
          <w:szCs w:val="24"/>
        </w:rPr>
      </w:pPr>
      <w:bookmarkStart w:id="15" w:name="_Toc212719093"/>
      <w:bookmarkStart w:id="16" w:name="_Toc13785"/>
      <w:r>
        <w:rPr>
          <w:rStyle w:val="12"/>
          <w:rFonts w:hint="default" w:ascii="Goudy Old Style" w:hAnsi="Goudy Old Style"/>
          <w:b/>
          <w:bCs/>
          <w:color w:val="auto"/>
          <w:sz w:val="24"/>
          <w:szCs w:val="24"/>
          <w:lang w:val="en-US"/>
        </w:rPr>
        <w:t xml:space="preserve">I </w:t>
      </w:r>
      <w:r>
        <w:rPr>
          <w:rStyle w:val="12"/>
          <w:rFonts w:ascii="Goudy Old Style" w:hAnsi="Goudy Old Style"/>
          <w:b/>
          <w:bCs/>
          <w:color w:val="auto"/>
          <w:sz w:val="24"/>
          <w:szCs w:val="24"/>
        </w:rPr>
        <w:t>Strategic Risk Planning: Crafting a Resilient Future for the Modern CSO</w:t>
      </w:r>
      <w:bookmarkEnd w:id="15"/>
      <w:bookmarkEnd w:id="16"/>
    </w:p>
    <w:p w14:paraId="688DE3CB">
      <w:pPr>
        <w:pStyle w:val="11"/>
        <w:numPr>
          <w:ilvl w:val="0"/>
          <w:numId w:val="0"/>
        </w:numPr>
        <w:ind w:leftChars="0"/>
        <w:rPr>
          <w:rFonts w:ascii="Goudy Old Style" w:hAnsi="Goudy Old Style"/>
        </w:rPr>
      </w:pPr>
      <w:r>
        <w:rPr>
          <w:rStyle w:val="12"/>
          <w:rFonts w:ascii="Goudy Old Style" w:hAnsi="Goudy Old Style"/>
        </w:rPr>
        <w:t>Facilitator:</w:t>
      </w:r>
      <w:r>
        <w:rPr>
          <w:rFonts w:ascii="Goudy Old Style" w:hAnsi="Goudy Old Style"/>
        </w:rPr>
        <w:t xml:space="preserve"> </w:t>
      </w:r>
      <w:r>
        <w:rPr>
          <w:rStyle w:val="7"/>
          <w:rFonts w:ascii="Goudy Old Style" w:hAnsi="Goudy Old Style"/>
        </w:rPr>
        <w:t>Mr. Gerald Wall (Day 1 &amp; 2)</w:t>
      </w:r>
    </w:p>
    <w:p w14:paraId="2668D59D">
      <w:pPr>
        <w:pStyle w:val="11"/>
        <w:numPr>
          <w:ilvl w:val="0"/>
          <w:numId w:val="0"/>
        </w:numPr>
        <w:ind w:leftChars="0"/>
        <w:rPr>
          <w:rFonts w:ascii="Goudy Old Style" w:hAnsi="Goudy Old Style"/>
        </w:rPr>
      </w:pPr>
      <w:r>
        <w:rPr>
          <w:rFonts w:ascii="Goudy Old Style" w:hAnsi="Goudy Old Style"/>
        </w:rPr>
        <w:t>Mr. Gerald Wall delivered a strategic session on risk management and organisational resilience. He highlighted that modern CSOs operate in increasingly complex environments characterized by misinformation, funding volatility, and cyber threats.</w:t>
      </w:r>
    </w:p>
    <w:p w14:paraId="1ED7ACF9">
      <w:pPr>
        <w:pStyle w:val="11"/>
        <w:numPr>
          <w:ilvl w:val="0"/>
          <w:numId w:val="0"/>
        </w:numPr>
        <w:ind w:leftChars="0"/>
        <w:rPr>
          <w:rFonts w:ascii="Goudy Old Style" w:hAnsi="Goudy Old Style"/>
        </w:rPr>
      </w:pPr>
      <w:r>
        <w:rPr>
          <w:rFonts w:ascii="Goudy Old Style" w:hAnsi="Goudy Old Style"/>
        </w:rPr>
        <w:t>The session covered risk identification, mitigation planning, and leadership continuity strategies. Participants discussed how to build systems that safeguard institutional legitimacy and protect both data and people.</w:t>
      </w:r>
    </w:p>
    <w:p w14:paraId="53138421">
      <w:pPr>
        <w:pStyle w:val="11"/>
        <w:numPr>
          <w:ilvl w:val="0"/>
          <w:numId w:val="0"/>
        </w:numPr>
        <w:ind w:leftChars="0"/>
        <w:rPr>
          <w:rFonts w:ascii="Goudy Old Style" w:hAnsi="Goudy Old Style"/>
        </w:rPr>
      </w:pPr>
      <w:r>
        <w:rPr>
          <w:rFonts w:ascii="Goudy Old Style" w:hAnsi="Goudy Old Style"/>
        </w:rPr>
        <w:t xml:space="preserve">Mr. Wall emphasized that </w:t>
      </w:r>
      <w:r>
        <w:rPr>
          <w:rStyle w:val="12"/>
          <w:rFonts w:ascii="Goudy Old Style" w:hAnsi="Goudy Old Style"/>
        </w:rPr>
        <w:t>resilience is a leadership skill</w:t>
      </w:r>
      <w:r>
        <w:rPr>
          <w:rFonts w:ascii="Goudy Old Style" w:hAnsi="Goudy Old Style"/>
        </w:rPr>
        <w:t>, urging participants to cultivate adaptability, foresight, and a proactive security culture.</w:t>
      </w:r>
    </w:p>
    <w:p w14:paraId="2EC0BE41">
      <w:pPr>
        <w:pStyle w:val="11"/>
        <w:numPr>
          <w:ilvl w:val="0"/>
          <w:numId w:val="0"/>
        </w:numPr>
        <w:ind w:leftChars="0"/>
        <w:rPr>
          <w:rFonts w:ascii="Goudy Old Style" w:hAnsi="Goudy Old Style"/>
        </w:rPr>
      </w:pPr>
      <w:r>
        <w:rPr>
          <w:rStyle w:val="12"/>
          <w:rFonts w:ascii="Goudy Old Style" w:hAnsi="Goudy Old Style"/>
        </w:rPr>
        <w:t>Outcome:</w:t>
      </w:r>
      <w:r>
        <w:rPr>
          <w:rFonts w:ascii="Goudy Old Style" w:hAnsi="Goudy Old Style"/>
        </w:rPr>
        <w:t xml:space="preserve"> Participants learned how to integrate risk management into their governance frameworks, ensuring institutional sustainability even in uncertain contexts.</w:t>
      </w:r>
    </w:p>
    <w:p w14:paraId="102FFEA0">
      <w:pPr>
        <w:pStyle w:val="4"/>
        <w:numPr>
          <w:ilvl w:val="0"/>
          <w:numId w:val="0"/>
        </w:numPr>
        <w:ind w:leftChars="0"/>
        <w:rPr>
          <w:rFonts w:ascii="Goudy Old Style" w:hAnsi="Goudy Old Style"/>
          <w:color w:val="auto"/>
          <w:sz w:val="24"/>
          <w:szCs w:val="24"/>
        </w:rPr>
      </w:pPr>
      <w:bookmarkStart w:id="17" w:name="_Toc212719094"/>
      <w:bookmarkStart w:id="18" w:name="_Toc5193"/>
      <w:r>
        <w:rPr>
          <w:rStyle w:val="12"/>
          <w:rFonts w:hint="default" w:ascii="Goudy Old Style" w:hAnsi="Goudy Old Style"/>
          <w:b/>
          <w:bCs/>
          <w:color w:val="auto"/>
          <w:sz w:val="24"/>
          <w:szCs w:val="24"/>
          <w:lang w:val="en-US"/>
        </w:rPr>
        <w:t xml:space="preserve">J </w:t>
      </w:r>
      <w:r>
        <w:rPr>
          <w:rStyle w:val="12"/>
          <w:rFonts w:ascii="Goudy Old Style" w:hAnsi="Goudy Old Style"/>
          <w:b/>
          <w:bCs/>
          <w:color w:val="auto"/>
          <w:sz w:val="24"/>
          <w:szCs w:val="24"/>
        </w:rPr>
        <w:t>Closing Remarks and Commissioning of Graduates</w:t>
      </w:r>
      <w:bookmarkEnd w:id="17"/>
      <w:bookmarkEnd w:id="18"/>
    </w:p>
    <w:p w14:paraId="1C48067C">
      <w:pPr>
        <w:pStyle w:val="11"/>
        <w:numPr>
          <w:ilvl w:val="0"/>
          <w:numId w:val="0"/>
        </w:numPr>
        <w:ind w:leftChars="0"/>
        <w:jc w:val="both"/>
        <w:rPr>
          <w:rFonts w:ascii="Goudy Old Style" w:hAnsi="Goudy Old Style"/>
        </w:rPr>
      </w:pPr>
      <w:r>
        <w:rPr>
          <w:rStyle w:val="12"/>
          <w:rFonts w:ascii="Goudy Old Style" w:hAnsi="Goudy Old Style"/>
        </w:rPr>
        <w:t>Facilitator:</w:t>
      </w:r>
      <w:r>
        <w:rPr>
          <w:rFonts w:ascii="Goudy Old Style" w:hAnsi="Goudy Old Style"/>
        </w:rPr>
        <w:t xml:space="preserve"> </w:t>
      </w:r>
      <w:r>
        <w:rPr>
          <w:rStyle w:val="7"/>
          <w:rFonts w:ascii="Goudy Old Style" w:hAnsi="Goudy Old Style"/>
        </w:rPr>
        <w:t>Dr. Katja Kerschbaumer, Head – Austrian Development Cooperation Austrian Development Agency (Day 2)</w:t>
      </w:r>
    </w:p>
    <w:p w14:paraId="122D8C08">
      <w:pPr>
        <w:pStyle w:val="11"/>
        <w:numPr>
          <w:ilvl w:val="0"/>
          <w:numId w:val="0"/>
        </w:numPr>
        <w:ind w:leftChars="0"/>
        <w:jc w:val="both"/>
        <w:rPr>
          <w:rFonts w:ascii="Goudy Old Style" w:hAnsi="Goudy Old Style"/>
        </w:rPr>
      </w:pPr>
      <w:r>
        <w:rPr>
          <w:rFonts w:ascii="Goudy Old Style" w:hAnsi="Goudy Old Style"/>
        </w:rPr>
        <w:t>In her closing remarks, Dr. Kerschbaumer commended participants for their active engagement and reaffirmed ADA’s commitment to supporting leadership programs that enhance transparency and accountability in Uganda’s civil society. She reminded graduates that leadership excellence is sustained through continuous learning and collaboration.</w:t>
      </w:r>
    </w:p>
    <w:p w14:paraId="7861BF3B">
      <w:pPr>
        <w:pStyle w:val="11"/>
        <w:numPr>
          <w:ilvl w:val="0"/>
          <w:numId w:val="0"/>
        </w:numPr>
        <w:ind w:leftChars="0"/>
        <w:jc w:val="both"/>
        <w:rPr>
          <w:rFonts w:ascii="Goudy Old Style" w:hAnsi="Goudy Old Style"/>
        </w:rPr>
      </w:pPr>
      <w:r>
        <w:rPr>
          <w:rStyle w:val="12"/>
          <w:rFonts w:ascii="Goudy Old Style" w:hAnsi="Goudy Old Style"/>
        </w:rPr>
        <w:t>Outcome:</w:t>
      </w:r>
      <w:r>
        <w:rPr>
          <w:rFonts w:ascii="Goudy Old Style" w:hAnsi="Goudy Old Style"/>
        </w:rPr>
        <w:t xml:space="preserve"> Participants were commissioned as champions of good governance and ethical leadership, encouraged to apply their new skills within their organisations and communities.</w:t>
      </w:r>
    </w:p>
    <w:p w14:paraId="3B7D4B4C">
      <w:pPr>
        <w:keepNext w:val="0"/>
        <w:keepLines w:val="0"/>
        <w:widowControl/>
        <w:numPr>
          <w:ilvl w:val="0"/>
          <w:numId w:val="3"/>
        </w:numPr>
        <w:suppressLineNumbers w:val="0"/>
        <w:spacing w:before="0" w:beforeAutospacing="0" w:after="0" w:afterAutospacing="0"/>
        <w:ind w:left="425" w:leftChars="0" w:right="0" w:rightChars="0" w:hanging="425" w:firstLineChars="0"/>
        <w:jc w:val="both"/>
        <w:rPr>
          <w:rFonts w:hint="default" w:ascii="Goudy Old Style" w:hAnsi="Goudy Old Style" w:eastAsia="sans-serif" w:cs="Goudy Old Style"/>
          <w:b/>
          <w:bCs/>
          <w:color w:val="000000"/>
          <w:kern w:val="0"/>
          <w:sz w:val="24"/>
          <w:szCs w:val="24"/>
          <w:u w:val="none"/>
          <w:lang w:val="en-US" w:eastAsia="zh-CN" w:bidi="ar"/>
        </w:rPr>
      </w:pPr>
      <w:r>
        <w:rPr>
          <w:rFonts w:hint="default" w:ascii="Goudy Old Style" w:hAnsi="Goudy Old Style" w:eastAsia="sans-serif" w:cs="Goudy Old Style"/>
          <w:b/>
          <w:bCs/>
          <w:color w:val="000000"/>
          <w:kern w:val="0"/>
          <w:sz w:val="24"/>
          <w:szCs w:val="24"/>
          <w:u w:val="none"/>
          <w:lang w:val="en-US" w:eastAsia="zh-CN" w:bidi="ar"/>
        </w:rPr>
        <w:t>PARTICIPANT DEMOGRAPHICS</w:t>
      </w:r>
    </w:p>
    <w:p w14:paraId="0477F12A">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p w14:paraId="49D81D66">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eastAsia="sans-serif" w:cs="Goudy Old Style"/>
          <w:b/>
          <w:bCs/>
          <w:color w:val="000000"/>
          <w:kern w:val="0"/>
          <w:sz w:val="24"/>
          <w:szCs w:val="24"/>
          <w:u w:val="none"/>
          <w:lang w:val="en-US" w:eastAsia="zh-CN" w:bidi="ar"/>
        </w:rPr>
      </w:pPr>
      <w:r>
        <w:rPr>
          <w:rFonts w:hint="default" w:ascii="Goudy Old Style" w:hAnsi="Goudy Old Style" w:eastAsia="sans-serif" w:cs="Goudy Old Style"/>
          <w:b/>
          <w:bCs/>
          <w:color w:val="000000"/>
          <w:kern w:val="0"/>
          <w:sz w:val="24"/>
          <w:szCs w:val="24"/>
          <w:u w:val="none"/>
          <w:lang w:val="en-US" w:eastAsia="zh-CN" w:bidi="ar"/>
        </w:rPr>
        <w:t>Graph 1: Attendance Demographics</w:t>
      </w:r>
    </w:p>
    <w:p w14:paraId="435C42C0">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drawing>
          <wp:inline distT="0" distB="0" distL="114300" distR="114300">
            <wp:extent cx="5256530" cy="2988310"/>
            <wp:effectExtent l="5080" t="4445" r="8890" b="1714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53A9E8AE">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p w14:paraId="0BC5D73B">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p w14:paraId="6E071144">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p w14:paraId="6D5216F3">
      <w:pPr>
        <w:keepNext w:val="0"/>
        <w:keepLines w:val="0"/>
        <w:widowControl/>
        <w:numPr>
          <w:ilvl w:val="0"/>
          <w:numId w:val="0"/>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Chars="0" w:right="0" w:rightChars="0"/>
        <w:jc w:val="both"/>
        <w:rPr>
          <w:rFonts w:hint="default" w:ascii="Goudy Old Style" w:hAnsi="Goudy Old Style" w:eastAsia="sans-serif" w:cs="Goudy Old Style"/>
          <w:color w:val="002060"/>
          <w:sz w:val="24"/>
          <w:szCs w:val="24"/>
          <w:u w:val="none"/>
        </w:rPr>
      </w:pPr>
      <w:r>
        <w:rPr>
          <w:rFonts w:hint="default" w:ascii="Goudy Old Style" w:hAnsi="Goudy Old Style" w:eastAsia="sans-serif" w:cs="Goudy Old Style"/>
          <w:b/>
          <w:bCs/>
          <w:color w:val="002060"/>
          <w:kern w:val="0"/>
          <w:sz w:val="24"/>
          <w:szCs w:val="24"/>
          <w:u w:val="none"/>
          <w:lang w:val="en-US" w:eastAsia="zh-CN" w:bidi="ar"/>
        </w:rPr>
        <w:t>Spotlight on Inclusion:</w:t>
      </w:r>
      <w:r>
        <w:rPr>
          <w:rFonts w:hint="default" w:ascii="Goudy Old Style" w:hAnsi="Goudy Old Style" w:eastAsia="sans-serif" w:cs="Goudy Old Style"/>
          <w:color w:val="002060"/>
          <w:kern w:val="0"/>
          <w:sz w:val="24"/>
          <w:szCs w:val="24"/>
          <w:u w:val="none"/>
          <w:lang w:val="en-US" w:eastAsia="zh-CN" w:bidi="ar"/>
        </w:rPr>
        <w:br w:type="textWrapping"/>
      </w:r>
      <w:r>
        <w:rPr>
          <w:rFonts w:hint="default" w:ascii="Goudy Old Style" w:hAnsi="Goudy Old Style" w:eastAsia="sans-serif" w:cs="Goudy Old Style"/>
          <w:color w:val="002060"/>
          <w:kern w:val="0"/>
          <w:sz w:val="24"/>
          <w:szCs w:val="24"/>
          <w:u w:val="none"/>
          <w:lang w:val="en-US" w:eastAsia="zh-CN" w:bidi="ar"/>
        </w:rPr>
        <w:t>One in-person participant was a Person with Disability (PWD) from IDIWA (Integrated Disabled Women Activities) — a Ugandan NGO dedicated to empowering women and girls with disabilities to challenge discrimination and inequality. Her participation enriched discussions on accessible governance, inclusive board policies, and disability-responsive accountability, inspiring peers to integrate universal design principles into organizational frameworks.</w:t>
      </w:r>
    </w:p>
    <w:p w14:paraId="2ACAA366">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p w14:paraId="03B2FB95">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b/>
          <w:bCs/>
          <w:color w:val="000000"/>
          <w:kern w:val="0"/>
          <w:sz w:val="24"/>
          <w:szCs w:val="24"/>
          <w:u w:val="none"/>
          <w:lang w:val="en-US" w:eastAsia="zh-CN" w:bidi="ar"/>
        </w:rPr>
      </w:pPr>
    </w:p>
    <w:p w14:paraId="62F66037">
      <w:pPr>
        <w:keepNext w:val="0"/>
        <w:keepLines w:val="0"/>
        <w:widowControl/>
        <w:numPr>
          <w:ilvl w:val="0"/>
          <w:numId w:val="3"/>
        </w:numPr>
        <w:suppressLineNumbers w:val="0"/>
        <w:spacing w:before="0" w:beforeAutospacing="0" w:after="0" w:afterAutospacing="0"/>
        <w:ind w:left="425" w:leftChars="0" w:right="0" w:rightChars="0" w:hanging="425" w:firstLineChars="0"/>
        <w:jc w:val="both"/>
        <w:rPr>
          <w:rFonts w:hint="default" w:ascii="Goudy Old Style" w:hAnsi="Goudy Old Style" w:eastAsia="sans-serif" w:cs="Goudy Old Style"/>
          <w:b/>
          <w:bCs/>
          <w:color w:val="000000"/>
          <w:kern w:val="0"/>
          <w:sz w:val="24"/>
          <w:szCs w:val="24"/>
          <w:u w:val="none"/>
          <w:lang w:val="en-US" w:eastAsia="zh-CN" w:bidi="ar"/>
        </w:rPr>
      </w:pPr>
      <w:r>
        <w:rPr>
          <w:rFonts w:hint="default" w:ascii="Goudy Old Style" w:hAnsi="Goudy Old Style" w:eastAsia="sans-serif" w:cs="Goudy Old Style"/>
          <w:b/>
          <w:bCs/>
          <w:color w:val="000000"/>
          <w:kern w:val="0"/>
          <w:sz w:val="24"/>
          <w:szCs w:val="24"/>
          <w:u w:val="none"/>
          <w:lang w:val="en-US" w:eastAsia="zh-CN" w:bidi="ar"/>
        </w:rPr>
        <w:t>TWO-DAY TRAINING PROGRAM OVERVIEW</w:t>
      </w:r>
    </w:p>
    <w:p w14:paraId="4B2D8613">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cs="Goudy Old Style"/>
          <w:sz w:val="24"/>
          <w:szCs w:val="24"/>
        </w:rPr>
      </w:pPr>
      <w:r>
        <w:rPr>
          <w:rFonts w:hint="default" w:ascii="Goudy Old Style" w:hAnsi="Goudy Old Style" w:eastAsia="sans-serif" w:cs="Goudy Old Style"/>
          <w:color w:val="000000"/>
          <w:kern w:val="0"/>
          <w:sz w:val="24"/>
          <w:szCs w:val="24"/>
          <w:u w:val="none"/>
          <w:lang w:val="en-US" w:eastAsia="zh-CN" w:bidi="ar"/>
        </w:rPr>
        <w:t xml:space="preserve">Format: Expert-led sessions, peer learning, case studies, and reflective exercises </w:t>
      </w:r>
    </w:p>
    <w:p w14:paraId="472DEC45">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p w14:paraId="3A8E73E9">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cs="Goudy Old Style"/>
          <w:b/>
          <w:bCs/>
          <w:sz w:val="24"/>
          <w:szCs w:val="24"/>
        </w:rPr>
      </w:pPr>
      <w:r>
        <w:rPr>
          <w:rFonts w:hint="default" w:ascii="Goudy Old Style" w:hAnsi="Goudy Old Style" w:eastAsia="sans-serif" w:cs="Goudy Old Style"/>
          <w:b/>
          <w:bCs/>
          <w:color w:val="000000"/>
          <w:kern w:val="0"/>
          <w:sz w:val="24"/>
          <w:szCs w:val="24"/>
          <w:u w:val="none"/>
          <w:lang w:val="en-US" w:eastAsia="zh-CN" w:bidi="ar"/>
        </w:rPr>
        <w:t>TABLE 1 DAY 1: BOARD MEMBERS &amp; CHAIRS (52 in-person + 91 virtual)</w:t>
      </w:r>
    </w:p>
    <w:tbl>
      <w:tblPr>
        <w:tblStyle w:val="6"/>
        <w:tblW w:w="8318" w:type="dxa"/>
        <w:tblInd w:w="15" w:type="dxa"/>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53"/>
        <w:gridCol w:w="1784"/>
        <w:gridCol w:w="2440"/>
        <w:gridCol w:w="2441"/>
      </w:tblGrid>
      <w:tr w14:paraId="00CF08F0">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53" w:type="dxa"/>
            <w:tcBorders>
              <w:top w:val="nil"/>
              <w:left w:val="nil"/>
              <w:bottom w:val="nil"/>
              <w:right w:val="nil"/>
            </w:tcBorders>
            <w:shd w:val="clear" w:color="auto" w:fill="auto"/>
            <w:noWrap/>
            <w:vAlign w:val="center"/>
          </w:tcPr>
          <w:p w14:paraId="02DB55A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0000FF"/>
                <w:sz w:val="22"/>
                <w:szCs w:val="22"/>
              </w:rPr>
            </w:pPr>
            <w:r>
              <w:rPr>
                <w:rFonts w:hint="default" w:ascii="Goudy Old Style" w:hAnsi="Goudy Old Style" w:eastAsia="sans-serif" w:cs="Goudy Old Style"/>
                <w:b/>
                <w:bCs/>
                <w:color w:val="0000FF"/>
                <w:kern w:val="0"/>
                <w:sz w:val="22"/>
                <w:szCs w:val="22"/>
                <w:lang w:val="en-US" w:eastAsia="zh-CN" w:bidi="ar"/>
              </w:rPr>
              <w:t>Session</w:t>
            </w:r>
          </w:p>
        </w:tc>
        <w:tc>
          <w:tcPr>
            <w:tcW w:w="1784" w:type="dxa"/>
            <w:tcBorders>
              <w:top w:val="nil"/>
              <w:left w:val="nil"/>
              <w:bottom w:val="nil"/>
              <w:right w:val="nil"/>
            </w:tcBorders>
            <w:shd w:val="clear" w:color="auto" w:fill="auto"/>
            <w:noWrap/>
            <w:vAlign w:val="center"/>
          </w:tcPr>
          <w:p w14:paraId="34A34EF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0000FF"/>
                <w:sz w:val="22"/>
                <w:szCs w:val="22"/>
              </w:rPr>
            </w:pPr>
            <w:r>
              <w:rPr>
                <w:rFonts w:hint="default" w:ascii="Goudy Old Style" w:hAnsi="Goudy Old Style" w:eastAsia="sans-serif" w:cs="Goudy Old Style"/>
                <w:b/>
                <w:bCs/>
                <w:color w:val="0000FF"/>
                <w:kern w:val="0"/>
                <w:sz w:val="22"/>
                <w:szCs w:val="22"/>
                <w:lang w:val="en-US" w:eastAsia="zh-CN" w:bidi="ar"/>
              </w:rPr>
              <w:t>Facilitator</w:t>
            </w:r>
          </w:p>
        </w:tc>
        <w:tc>
          <w:tcPr>
            <w:tcW w:w="2440" w:type="dxa"/>
            <w:tcBorders>
              <w:top w:val="nil"/>
              <w:left w:val="nil"/>
              <w:bottom w:val="nil"/>
              <w:right w:val="nil"/>
            </w:tcBorders>
            <w:shd w:val="clear" w:color="auto" w:fill="auto"/>
            <w:noWrap/>
            <w:vAlign w:val="center"/>
          </w:tcPr>
          <w:p w14:paraId="01A0E4B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0000FF"/>
                <w:sz w:val="22"/>
                <w:szCs w:val="22"/>
              </w:rPr>
            </w:pPr>
            <w:r>
              <w:rPr>
                <w:rFonts w:hint="default" w:ascii="Goudy Old Style" w:hAnsi="Goudy Old Style" w:eastAsia="sans-serif" w:cs="Goudy Old Style"/>
                <w:b/>
                <w:bCs/>
                <w:color w:val="0000FF"/>
                <w:kern w:val="0"/>
                <w:sz w:val="22"/>
                <w:szCs w:val="22"/>
                <w:lang w:val="en-US" w:eastAsia="zh-CN" w:bidi="ar"/>
              </w:rPr>
              <w:t>Key Focus</w:t>
            </w:r>
          </w:p>
        </w:tc>
        <w:tc>
          <w:tcPr>
            <w:tcW w:w="2441" w:type="dxa"/>
            <w:tcBorders>
              <w:top w:val="nil"/>
              <w:left w:val="nil"/>
              <w:bottom w:val="nil"/>
              <w:right w:val="nil"/>
            </w:tcBorders>
            <w:shd w:val="clear" w:color="auto" w:fill="auto"/>
            <w:noWrap/>
            <w:vAlign w:val="center"/>
          </w:tcPr>
          <w:p w14:paraId="2E81EC4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0000FF"/>
                <w:sz w:val="22"/>
                <w:szCs w:val="22"/>
              </w:rPr>
            </w:pPr>
            <w:r>
              <w:rPr>
                <w:rFonts w:hint="default" w:ascii="Goudy Old Style" w:hAnsi="Goudy Old Style" w:eastAsia="sans-serif" w:cs="Goudy Old Style"/>
                <w:b/>
                <w:bCs/>
                <w:color w:val="0000FF"/>
                <w:kern w:val="0"/>
                <w:sz w:val="22"/>
                <w:szCs w:val="22"/>
                <w:lang w:val="en-US" w:eastAsia="zh-CN" w:bidi="ar"/>
              </w:rPr>
              <w:t>Outcome</w:t>
            </w:r>
          </w:p>
        </w:tc>
      </w:tr>
      <w:tr w14:paraId="0C7D47F8">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53" w:type="dxa"/>
            <w:tcBorders>
              <w:top w:val="nil"/>
              <w:left w:val="nil"/>
              <w:bottom w:val="nil"/>
              <w:right w:val="nil"/>
            </w:tcBorders>
            <w:shd w:val="clear" w:color="auto" w:fill="auto"/>
            <w:vAlign w:val="center"/>
          </w:tcPr>
          <w:p w14:paraId="6308508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Opening Keynote</w:t>
            </w:r>
          </w:p>
        </w:tc>
        <w:tc>
          <w:tcPr>
            <w:tcW w:w="1784" w:type="dxa"/>
            <w:tcBorders>
              <w:top w:val="nil"/>
              <w:left w:val="nil"/>
              <w:bottom w:val="nil"/>
              <w:right w:val="nil"/>
            </w:tcBorders>
            <w:shd w:val="clear" w:color="auto" w:fill="auto"/>
            <w:vAlign w:val="center"/>
          </w:tcPr>
          <w:p w14:paraId="6A9D824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Pheona Nabasa Wall SC (ED FLI)</w:t>
            </w:r>
          </w:p>
        </w:tc>
        <w:tc>
          <w:tcPr>
            <w:tcW w:w="2440" w:type="dxa"/>
            <w:tcBorders>
              <w:top w:val="nil"/>
              <w:left w:val="nil"/>
              <w:bottom w:val="nil"/>
              <w:right w:val="nil"/>
            </w:tcBorders>
            <w:shd w:val="clear" w:color="auto" w:fill="auto"/>
            <w:vAlign w:val="center"/>
          </w:tcPr>
          <w:p w14:paraId="053E354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Ethical leadership begins with self-awareness and integrity</w:t>
            </w:r>
          </w:p>
        </w:tc>
        <w:tc>
          <w:tcPr>
            <w:tcW w:w="2441" w:type="dxa"/>
            <w:tcBorders>
              <w:top w:val="nil"/>
              <w:left w:val="nil"/>
              <w:bottom w:val="nil"/>
              <w:right w:val="nil"/>
            </w:tcBorders>
            <w:shd w:val="clear" w:color="auto" w:fill="auto"/>
            <w:vAlign w:val="center"/>
          </w:tcPr>
          <w:p w14:paraId="52D592B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Energized participants ready for deep governance learning</w:t>
            </w:r>
          </w:p>
        </w:tc>
      </w:tr>
      <w:tr w14:paraId="6651B2C8">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53" w:type="dxa"/>
            <w:tcBorders>
              <w:top w:val="nil"/>
              <w:left w:val="nil"/>
              <w:bottom w:val="nil"/>
              <w:right w:val="nil"/>
            </w:tcBorders>
            <w:shd w:val="clear" w:color="auto" w:fill="auto"/>
            <w:vAlign w:val="center"/>
          </w:tcPr>
          <w:p w14:paraId="11183EE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Personality Mapping &amp; Leadership Style</w:t>
            </w:r>
          </w:p>
        </w:tc>
        <w:tc>
          <w:tcPr>
            <w:tcW w:w="1784" w:type="dxa"/>
            <w:tcBorders>
              <w:top w:val="nil"/>
              <w:left w:val="nil"/>
              <w:bottom w:val="nil"/>
              <w:right w:val="nil"/>
            </w:tcBorders>
            <w:shd w:val="clear" w:color="auto" w:fill="auto"/>
            <w:vAlign w:val="center"/>
          </w:tcPr>
          <w:p w14:paraId="143A1F4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lang w:val="en-US"/>
              </w:rPr>
            </w:pPr>
            <w:r>
              <w:rPr>
                <w:rFonts w:hint="default" w:ascii="Goudy Old Style" w:hAnsi="Goudy Old Style" w:eastAsia="sans-serif" w:cs="Goudy Old Style"/>
                <w:color w:val="0000FF"/>
                <w:kern w:val="0"/>
                <w:sz w:val="22"/>
                <w:szCs w:val="22"/>
                <w:lang w:val="en-US" w:eastAsia="zh-CN" w:bidi="ar"/>
              </w:rPr>
              <w:t>Pheona N. Wall (ED FLI)</w:t>
            </w:r>
          </w:p>
        </w:tc>
        <w:tc>
          <w:tcPr>
            <w:tcW w:w="2440" w:type="dxa"/>
            <w:tcBorders>
              <w:top w:val="nil"/>
              <w:left w:val="nil"/>
              <w:bottom w:val="nil"/>
              <w:right w:val="nil"/>
            </w:tcBorders>
            <w:shd w:val="clear" w:color="auto" w:fill="auto"/>
            <w:vAlign w:val="center"/>
          </w:tcPr>
          <w:p w14:paraId="4F17016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Self-awareness drives authentic decision-making</w:t>
            </w:r>
          </w:p>
        </w:tc>
        <w:tc>
          <w:tcPr>
            <w:tcW w:w="2441" w:type="dxa"/>
            <w:tcBorders>
              <w:top w:val="nil"/>
              <w:left w:val="nil"/>
              <w:bottom w:val="nil"/>
              <w:right w:val="nil"/>
            </w:tcBorders>
            <w:shd w:val="clear" w:color="auto" w:fill="auto"/>
            <w:vAlign w:val="center"/>
          </w:tcPr>
          <w:p w14:paraId="6731202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Clarity on personal leadership traits and team dynamics</w:t>
            </w:r>
          </w:p>
        </w:tc>
      </w:tr>
      <w:tr w14:paraId="42BFBE82">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tblCellMar>
            <w:top w:w="15" w:type="dxa"/>
            <w:left w:w="15" w:type="dxa"/>
            <w:bottom w:w="15" w:type="dxa"/>
            <w:right w:w="15" w:type="dxa"/>
          </w:tblCellMar>
        </w:tblPrEx>
        <w:tc>
          <w:tcPr>
            <w:tcW w:w="1653" w:type="dxa"/>
            <w:tcBorders>
              <w:top w:val="nil"/>
              <w:left w:val="nil"/>
              <w:bottom w:val="nil"/>
              <w:right w:val="nil"/>
            </w:tcBorders>
            <w:shd w:val="clear" w:color="auto" w:fill="auto"/>
            <w:vAlign w:val="center"/>
          </w:tcPr>
          <w:p w14:paraId="687FB23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Leading with Purpose &amp; Resilience</w:t>
            </w:r>
          </w:p>
        </w:tc>
        <w:tc>
          <w:tcPr>
            <w:tcW w:w="1784" w:type="dxa"/>
            <w:tcBorders>
              <w:top w:val="nil"/>
              <w:left w:val="nil"/>
              <w:bottom w:val="nil"/>
              <w:right w:val="nil"/>
            </w:tcBorders>
            <w:shd w:val="clear" w:color="auto" w:fill="auto"/>
            <w:vAlign w:val="center"/>
          </w:tcPr>
          <w:p w14:paraId="005FE8E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lang w:val="en-US"/>
              </w:rPr>
            </w:pPr>
            <w:r>
              <w:rPr>
                <w:rFonts w:hint="default" w:ascii="Goudy Old Style" w:hAnsi="Goudy Old Style" w:eastAsia="sans-serif" w:cs="Goudy Old Style"/>
                <w:color w:val="0000FF"/>
                <w:kern w:val="0"/>
                <w:sz w:val="22"/>
                <w:szCs w:val="22"/>
                <w:lang w:val="en-US" w:eastAsia="zh-CN" w:bidi="ar"/>
              </w:rPr>
              <w:t>SSP Tusiime Abdul (Uganda Police)</w:t>
            </w:r>
          </w:p>
        </w:tc>
        <w:tc>
          <w:tcPr>
            <w:tcW w:w="2440" w:type="dxa"/>
            <w:tcBorders>
              <w:top w:val="nil"/>
              <w:left w:val="nil"/>
              <w:bottom w:val="nil"/>
              <w:right w:val="nil"/>
            </w:tcBorders>
            <w:shd w:val="clear" w:color="auto" w:fill="auto"/>
            <w:vAlign w:val="center"/>
          </w:tcPr>
          <w:p w14:paraId="2C6C02D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Building inner strength under pressure</w:t>
            </w:r>
          </w:p>
        </w:tc>
        <w:tc>
          <w:tcPr>
            <w:tcW w:w="2441" w:type="dxa"/>
            <w:tcBorders>
              <w:top w:val="nil"/>
              <w:left w:val="nil"/>
              <w:bottom w:val="nil"/>
              <w:right w:val="nil"/>
            </w:tcBorders>
            <w:shd w:val="clear" w:color="auto" w:fill="auto"/>
            <w:vAlign w:val="center"/>
          </w:tcPr>
          <w:p w14:paraId="4E5247A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Commitment to emotional intelligence and endurance</w:t>
            </w:r>
          </w:p>
        </w:tc>
      </w:tr>
      <w:tr w14:paraId="2F609104">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53" w:type="dxa"/>
            <w:tcBorders>
              <w:top w:val="nil"/>
              <w:left w:val="nil"/>
              <w:bottom w:val="nil"/>
              <w:right w:val="nil"/>
            </w:tcBorders>
            <w:shd w:val="clear" w:color="auto" w:fill="auto"/>
            <w:vAlign w:val="center"/>
          </w:tcPr>
          <w:p w14:paraId="3A0379D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Corporate Governance under URSB</w:t>
            </w:r>
          </w:p>
        </w:tc>
        <w:tc>
          <w:tcPr>
            <w:tcW w:w="1784" w:type="dxa"/>
            <w:tcBorders>
              <w:top w:val="nil"/>
              <w:left w:val="nil"/>
              <w:bottom w:val="nil"/>
              <w:right w:val="nil"/>
            </w:tcBorders>
            <w:shd w:val="clear" w:color="auto" w:fill="auto"/>
            <w:vAlign w:val="center"/>
          </w:tcPr>
          <w:p w14:paraId="41E2949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Mr. Abaho Derrick (URSB)</w:t>
            </w:r>
          </w:p>
        </w:tc>
        <w:tc>
          <w:tcPr>
            <w:tcW w:w="2440" w:type="dxa"/>
            <w:tcBorders>
              <w:top w:val="nil"/>
              <w:left w:val="nil"/>
              <w:bottom w:val="nil"/>
              <w:right w:val="nil"/>
            </w:tcBorders>
            <w:shd w:val="clear" w:color="auto" w:fill="auto"/>
            <w:vAlign w:val="center"/>
          </w:tcPr>
          <w:p w14:paraId="02FAFE7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Compliance, registration, board diversity</w:t>
            </w:r>
          </w:p>
        </w:tc>
        <w:tc>
          <w:tcPr>
            <w:tcW w:w="2441" w:type="dxa"/>
            <w:tcBorders>
              <w:top w:val="nil"/>
              <w:left w:val="nil"/>
              <w:bottom w:val="nil"/>
              <w:right w:val="nil"/>
            </w:tcBorders>
            <w:shd w:val="clear" w:color="auto" w:fill="auto"/>
            <w:vAlign w:val="center"/>
          </w:tcPr>
          <w:p w14:paraId="76652DF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Actionable compliance roadmaps</w:t>
            </w:r>
          </w:p>
        </w:tc>
      </w:tr>
      <w:tr w14:paraId="7628F9DF">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53" w:type="dxa"/>
            <w:tcBorders>
              <w:top w:val="nil"/>
              <w:left w:val="nil"/>
              <w:bottom w:val="nil"/>
              <w:right w:val="nil"/>
            </w:tcBorders>
            <w:shd w:val="clear" w:color="auto" w:fill="auto"/>
            <w:vAlign w:val="center"/>
          </w:tcPr>
          <w:p w14:paraId="4DE81D9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Fundamentals of NGO Act Governance</w:t>
            </w:r>
          </w:p>
        </w:tc>
        <w:tc>
          <w:tcPr>
            <w:tcW w:w="1784" w:type="dxa"/>
            <w:tcBorders>
              <w:top w:val="nil"/>
              <w:left w:val="nil"/>
              <w:bottom w:val="nil"/>
              <w:right w:val="nil"/>
            </w:tcBorders>
            <w:shd w:val="clear" w:color="auto" w:fill="auto"/>
            <w:vAlign w:val="center"/>
          </w:tcPr>
          <w:p w14:paraId="19B07A3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Dr. Stephen Okello (CEO NGO Bureau)</w:t>
            </w:r>
          </w:p>
        </w:tc>
        <w:tc>
          <w:tcPr>
            <w:tcW w:w="2440" w:type="dxa"/>
            <w:tcBorders>
              <w:top w:val="nil"/>
              <w:left w:val="nil"/>
              <w:bottom w:val="nil"/>
              <w:right w:val="nil"/>
            </w:tcBorders>
            <w:shd w:val="clear" w:color="auto" w:fill="auto"/>
            <w:vAlign w:val="center"/>
          </w:tcPr>
          <w:p w14:paraId="13FFB1A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Board oversight, ethics codes, reporting</w:t>
            </w:r>
          </w:p>
        </w:tc>
        <w:tc>
          <w:tcPr>
            <w:tcW w:w="2441" w:type="dxa"/>
            <w:tcBorders>
              <w:top w:val="nil"/>
              <w:left w:val="nil"/>
              <w:bottom w:val="nil"/>
              <w:right w:val="nil"/>
            </w:tcBorders>
            <w:shd w:val="clear" w:color="auto" w:fill="auto"/>
            <w:vAlign w:val="center"/>
          </w:tcPr>
          <w:p w14:paraId="734FA9F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Strengthened institutional credibility</w:t>
            </w:r>
          </w:p>
        </w:tc>
      </w:tr>
      <w:tr w14:paraId="1DD24656">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53" w:type="dxa"/>
            <w:tcBorders>
              <w:top w:val="nil"/>
              <w:left w:val="nil"/>
              <w:bottom w:val="nil"/>
              <w:right w:val="nil"/>
            </w:tcBorders>
            <w:shd w:val="clear" w:color="auto" w:fill="auto"/>
            <w:vAlign w:val="center"/>
          </w:tcPr>
          <w:p w14:paraId="711B6AA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Mastering Influence: Storytelling for PR</w:t>
            </w:r>
          </w:p>
        </w:tc>
        <w:tc>
          <w:tcPr>
            <w:tcW w:w="1784" w:type="dxa"/>
            <w:tcBorders>
              <w:top w:val="nil"/>
              <w:left w:val="nil"/>
              <w:bottom w:val="nil"/>
              <w:right w:val="nil"/>
            </w:tcBorders>
            <w:shd w:val="clear" w:color="auto" w:fill="auto"/>
            <w:vAlign w:val="center"/>
          </w:tcPr>
          <w:p w14:paraId="55D8B42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lang w:val="en-US"/>
              </w:rPr>
            </w:pPr>
            <w:r>
              <w:rPr>
                <w:rFonts w:hint="default" w:ascii="Goudy Old Style" w:hAnsi="Goudy Old Style" w:eastAsia="sans-serif" w:cs="Goudy Old Style"/>
                <w:color w:val="0000FF"/>
                <w:kern w:val="0"/>
                <w:sz w:val="22"/>
                <w:szCs w:val="22"/>
                <w:lang w:val="en-US" w:eastAsia="zh-CN" w:bidi="ar"/>
              </w:rPr>
              <w:t>Ms. Precious Collette (CEO Quiet Garden Publishers)</w:t>
            </w:r>
          </w:p>
        </w:tc>
        <w:tc>
          <w:tcPr>
            <w:tcW w:w="2440" w:type="dxa"/>
            <w:tcBorders>
              <w:top w:val="nil"/>
              <w:left w:val="nil"/>
              <w:bottom w:val="nil"/>
              <w:right w:val="nil"/>
            </w:tcBorders>
            <w:shd w:val="clear" w:color="auto" w:fill="auto"/>
            <w:vAlign w:val="center"/>
          </w:tcPr>
          <w:p w14:paraId="01203FC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Narrative power for trust and advocacy</w:t>
            </w:r>
          </w:p>
        </w:tc>
        <w:tc>
          <w:tcPr>
            <w:tcW w:w="2441" w:type="dxa"/>
            <w:tcBorders>
              <w:top w:val="nil"/>
              <w:left w:val="nil"/>
              <w:bottom w:val="nil"/>
              <w:right w:val="nil"/>
            </w:tcBorders>
            <w:shd w:val="clear" w:color="auto" w:fill="auto"/>
            <w:vAlign w:val="center"/>
          </w:tcPr>
          <w:p w14:paraId="4CC0F8C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Confidence in human-centered communication</w:t>
            </w:r>
          </w:p>
        </w:tc>
      </w:tr>
      <w:tr w14:paraId="60D340D6">
        <w:tblPrEx>
          <w:tblBorders>
            <w:top w:val="single" w:color="CFD9DE" w:sz="2" w:space="0"/>
            <w:left w:val="single" w:color="CFD9DE" w:sz="2" w:space="0"/>
            <w:bottom w:val="single" w:color="CFD9DE" w:sz="2"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53" w:type="dxa"/>
            <w:tcBorders>
              <w:top w:val="nil"/>
              <w:left w:val="nil"/>
              <w:bottom w:val="nil"/>
              <w:right w:val="nil"/>
            </w:tcBorders>
            <w:shd w:val="clear" w:color="auto" w:fill="auto"/>
            <w:vAlign w:val="center"/>
          </w:tcPr>
          <w:p w14:paraId="351C234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Strategic Risk Planning</w:t>
            </w:r>
          </w:p>
        </w:tc>
        <w:tc>
          <w:tcPr>
            <w:tcW w:w="1784" w:type="dxa"/>
            <w:tcBorders>
              <w:top w:val="nil"/>
              <w:left w:val="nil"/>
              <w:bottom w:val="nil"/>
              <w:right w:val="nil"/>
            </w:tcBorders>
            <w:shd w:val="clear" w:color="auto" w:fill="auto"/>
            <w:vAlign w:val="center"/>
          </w:tcPr>
          <w:p w14:paraId="5A00D77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lang w:val="en-US"/>
              </w:rPr>
            </w:pPr>
            <w:r>
              <w:rPr>
                <w:rFonts w:hint="default" w:ascii="Goudy Old Style" w:hAnsi="Goudy Old Style" w:eastAsia="sans-serif" w:cs="Goudy Old Style"/>
                <w:color w:val="0000FF"/>
                <w:kern w:val="0"/>
                <w:sz w:val="22"/>
                <w:szCs w:val="22"/>
                <w:lang w:val="en-US" w:eastAsia="zh-CN" w:bidi="ar"/>
              </w:rPr>
              <w:t>Mr. Gerald Wall (CEO Universal Eagle Ent.)</w:t>
            </w:r>
          </w:p>
        </w:tc>
        <w:tc>
          <w:tcPr>
            <w:tcW w:w="2440" w:type="dxa"/>
            <w:tcBorders>
              <w:top w:val="nil"/>
              <w:left w:val="nil"/>
              <w:bottom w:val="nil"/>
              <w:right w:val="nil"/>
            </w:tcBorders>
            <w:shd w:val="clear" w:color="auto" w:fill="auto"/>
            <w:vAlign w:val="center"/>
          </w:tcPr>
          <w:p w14:paraId="0DCF618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Risk identification and resilience systems</w:t>
            </w:r>
          </w:p>
        </w:tc>
        <w:tc>
          <w:tcPr>
            <w:tcW w:w="2441" w:type="dxa"/>
            <w:tcBorders>
              <w:top w:val="nil"/>
              <w:left w:val="nil"/>
              <w:bottom w:val="nil"/>
              <w:right w:val="nil"/>
            </w:tcBorders>
            <w:shd w:val="clear" w:color="auto" w:fill="auto"/>
            <w:vAlign w:val="center"/>
          </w:tcPr>
          <w:p w14:paraId="590DF60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0000FF"/>
                <w:sz w:val="22"/>
                <w:szCs w:val="22"/>
              </w:rPr>
            </w:pPr>
            <w:r>
              <w:rPr>
                <w:rFonts w:hint="default" w:ascii="Goudy Old Style" w:hAnsi="Goudy Old Style" w:eastAsia="sans-serif" w:cs="Goudy Old Style"/>
                <w:color w:val="0000FF"/>
                <w:kern w:val="0"/>
                <w:sz w:val="22"/>
                <w:szCs w:val="22"/>
                <w:lang w:val="en-US" w:eastAsia="zh-CN" w:bidi="ar"/>
              </w:rPr>
              <w:t>Proactive safeguarding of legitimacy</w:t>
            </w:r>
          </w:p>
        </w:tc>
      </w:tr>
    </w:tbl>
    <w:p w14:paraId="795C5062">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b/>
          <w:bCs/>
          <w:color w:val="000000"/>
          <w:kern w:val="0"/>
          <w:sz w:val="22"/>
          <w:szCs w:val="22"/>
          <w:u w:val="none"/>
          <w:lang w:val="en-US" w:eastAsia="zh-CN" w:bidi="ar"/>
        </w:rPr>
      </w:pPr>
    </w:p>
    <w:p w14:paraId="67FFB290">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cs="Goudy Old Style"/>
          <w:b/>
          <w:bCs/>
          <w:sz w:val="22"/>
          <w:szCs w:val="22"/>
        </w:rPr>
      </w:pPr>
      <w:r>
        <w:rPr>
          <w:rFonts w:hint="default" w:ascii="Goudy Old Style" w:hAnsi="Goudy Old Style" w:eastAsia="sans-serif" w:cs="Goudy Old Style"/>
          <w:b/>
          <w:bCs/>
          <w:color w:val="000000"/>
          <w:kern w:val="0"/>
          <w:sz w:val="22"/>
          <w:szCs w:val="22"/>
          <w:u w:val="none"/>
          <w:lang w:val="en-US" w:eastAsia="zh-CN" w:bidi="ar"/>
        </w:rPr>
        <w:t>TABLE 2 DAY 2: CEOS &amp; EXECUTIVE DIRECTORS (36 in-person + 47 virtual)</w:t>
      </w:r>
    </w:p>
    <w:tbl>
      <w:tblPr>
        <w:tblStyle w:val="6"/>
        <w:tblW w:w="8326" w:type="dxa"/>
        <w:tblInd w:w="15" w:type="dxa"/>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64"/>
        <w:gridCol w:w="1770"/>
        <w:gridCol w:w="2438"/>
        <w:gridCol w:w="2454"/>
      </w:tblGrid>
      <w:tr w14:paraId="4A0D8A4A">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64" w:type="dxa"/>
            <w:tcBorders>
              <w:top w:val="nil"/>
              <w:left w:val="nil"/>
              <w:bottom w:val="nil"/>
              <w:right w:val="nil"/>
            </w:tcBorders>
            <w:shd w:val="clear" w:color="auto" w:fill="auto"/>
            <w:noWrap/>
            <w:vAlign w:val="center"/>
          </w:tcPr>
          <w:p w14:paraId="450394B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C00000"/>
                <w:sz w:val="22"/>
                <w:szCs w:val="22"/>
              </w:rPr>
            </w:pPr>
            <w:r>
              <w:rPr>
                <w:rFonts w:hint="default" w:ascii="Goudy Old Style" w:hAnsi="Goudy Old Style" w:eastAsia="sans-serif" w:cs="Goudy Old Style"/>
                <w:b/>
                <w:bCs/>
                <w:color w:val="C00000"/>
                <w:kern w:val="0"/>
                <w:sz w:val="22"/>
                <w:szCs w:val="22"/>
                <w:lang w:val="en-US" w:eastAsia="zh-CN" w:bidi="ar"/>
              </w:rPr>
              <w:t>Session</w:t>
            </w:r>
          </w:p>
        </w:tc>
        <w:tc>
          <w:tcPr>
            <w:tcW w:w="1770" w:type="dxa"/>
            <w:tcBorders>
              <w:top w:val="nil"/>
              <w:left w:val="nil"/>
              <w:bottom w:val="nil"/>
              <w:right w:val="nil"/>
            </w:tcBorders>
            <w:shd w:val="clear" w:color="auto" w:fill="auto"/>
            <w:noWrap/>
            <w:vAlign w:val="center"/>
          </w:tcPr>
          <w:p w14:paraId="3FBE214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C00000"/>
                <w:sz w:val="22"/>
                <w:szCs w:val="22"/>
              </w:rPr>
            </w:pPr>
            <w:r>
              <w:rPr>
                <w:rFonts w:hint="default" w:ascii="Goudy Old Style" w:hAnsi="Goudy Old Style" w:eastAsia="sans-serif" w:cs="Goudy Old Style"/>
                <w:b/>
                <w:bCs/>
                <w:color w:val="C00000"/>
                <w:kern w:val="0"/>
                <w:sz w:val="22"/>
                <w:szCs w:val="22"/>
                <w:lang w:val="en-US" w:eastAsia="zh-CN" w:bidi="ar"/>
              </w:rPr>
              <w:t>Facilitator</w:t>
            </w:r>
          </w:p>
        </w:tc>
        <w:tc>
          <w:tcPr>
            <w:tcW w:w="2438" w:type="dxa"/>
            <w:tcBorders>
              <w:top w:val="nil"/>
              <w:left w:val="nil"/>
              <w:bottom w:val="nil"/>
              <w:right w:val="nil"/>
            </w:tcBorders>
            <w:shd w:val="clear" w:color="auto" w:fill="auto"/>
            <w:noWrap/>
            <w:vAlign w:val="center"/>
          </w:tcPr>
          <w:p w14:paraId="30A01D8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C00000"/>
                <w:sz w:val="22"/>
                <w:szCs w:val="22"/>
              </w:rPr>
            </w:pPr>
            <w:r>
              <w:rPr>
                <w:rFonts w:hint="default" w:ascii="Goudy Old Style" w:hAnsi="Goudy Old Style" w:eastAsia="sans-serif" w:cs="Goudy Old Style"/>
                <w:b/>
                <w:bCs/>
                <w:color w:val="C00000"/>
                <w:kern w:val="0"/>
                <w:sz w:val="22"/>
                <w:szCs w:val="22"/>
                <w:lang w:val="en-US" w:eastAsia="zh-CN" w:bidi="ar"/>
              </w:rPr>
              <w:t>Key Focus</w:t>
            </w:r>
          </w:p>
        </w:tc>
        <w:tc>
          <w:tcPr>
            <w:tcW w:w="2454" w:type="dxa"/>
            <w:tcBorders>
              <w:top w:val="nil"/>
              <w:left w:val="nil"/>
              <w:bottom w:val="nil"/>
              <w:right w:val="nil"/>
            </w:tcBorders>
            <w:shd w:val="clear" w:color="auto" w:fill="auto"/>
            <w:noWrap/>
            <w:vAlign w:val="center"/>
          </w:tcPr>
          <w:p w14:paraId="74FF1A4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C00000"/>
                <w:sz w:val="22"/>
                <w:szCs w:val="22"/>
              </w:rPr>
            </w:pPr>
            <w:r>
              <w:rPr>
                <w:rFonts w:hint="default" w:ascii="Goudy Old Style" w:hAnsi="Goudy Old Style" w:eastAsia="sans-serif" w:cs="Goudy Old Style"/>
                <w:b/>
                <w:bCs/>
                <w:color w:val="C00000"/>
                <w:kern w:val="0"/>
                <w:sz w:val="22"/>
                <w:szCs w:val="22"/>
                <w:lang w:val="en-US" w:eastAsia="zh-CN" w:bidi="ar"/>
              </w:rPr>
              <w:t>Outcome</w:t>
            </w:r>
          </w:p>
        </w:tc>
      </w:tr>
      <w:tr w14:paraId="40680BF8">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64" w:type="dxa"/>
            <w:tcBorders>
              <w:top w:val="nil"/>
              <w:left w:val="nil"/>
              <w:bottom w:val="nil"/>
              <w:right w:val="nil"/>
            </w:tcBorders>
            <w:shd w:val="clear" w:color="auto" w:fill="auto"/>
            <w:vAlign w:val="center"/>
          </w:tcPr>
          <w:p w14:paraId="3B93D50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Opening &amp; Reflection</w:t>
            </w:r>
          </w:p>
        </w:tc>
        <w:tc>
          <w:tcPr>
            <w:tcW w:w="1770" w:type="dxa"/>
            <w:tcBorders>
              <w:top w:val="nil"/>
              <w:left w:val="nil"/>
              <w:bottom w:val="nil"/>
              <w:right w:val="nil"/>
            </w:tcBorders>
            <w:shd w:val="clear" w:color="auto" w:fill="auto"/>
            <w:vAlign w:val="center"/>
          </w:tcPr>
          <w:p w14:paraId="5EB7160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lang w:val="en-US"/>
              </w:rPr>
            </w:pPr>
            <w:r>
              <w:rPr>
                <w:rFonts w:hint="default" w:ascii="Goudy Old Style" w:hAnsi="Goudy Old Style" w:eastAsia="sans-serif" w:cs="Goudy Old Style"/>
                <w:color w:val="C00000"/>
                <w:kern w:val="0"/>
                <w:sz w:val="22"/>
                <w:szCs w:val="22"/>
                <w:lang w:val="en-US" w:eastAsia="zh-CN" w:bidi="ar"/>
              </w:rPr>
              <w:t>Pheona Nabasa Wall SC (ED FLI</w:t>
            </w:r>
          </w:p>
        </w:tc>
        <w:tc>
          <w:tcPr>
            <w:tcW w:w="2438" w:type="dxa"/>
            <w:tcBorders>
              <w:top w:val="nil"/>
              <w:left w:val="nil"/>
              <w:bottom w:val="nil"/>
              <w:right w:val="nil"/>
            </w:tcBorders>
            <w:shd w:val="clear" w:color="auto" w:fill="auto"/>
            <w:vAlign w:val="center"/>
          </w:tcPr>
          <w:p w14:paraId="5462B25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Integrating Day 1 lessons into executive action</w:t>
            </w:r>
          </w:p>
        </w:tc>
        <w:tc>
          <w:tcPr>
            <w:tcW w:w="2454" w:type="dxa"/>
            <w:tcBorders>
              <w:top w:val="nil"/>
              <w:left w:val="nil"/>
              <w:bottom w:val="nil"/>
              <w:right w:val="nil"/>
            </w:tcBorders>
            <w:shd w:val="clear" w:color="auto" w:fill="auto"/>
            <w:vAlign w:val="center"/>
          </w:tcPr>
          <w:p w14:paraId="6AC96D8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Renewed focus on values-driven leadership</w:t>
            </w:r>
          </w:p>
        </w:tc>
      </w:tr>
      <w:tr w14:paraId="2A00FC5A">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64" w:type="dxa"/>
            <w:tcBorders>
              <w:top w:val="nil"/>
              <w:left w:val="nil"/>
              <w:bottom w:val="nil"/>
              <w:right w:val="nil"/>
            </w:tcBorders>
            <w:shd w:val="clear" w:color="auto" w:fill="auto"/>
            <w:vAlign w:val="center"/>
          </w:tcPr>
          <w:p w14:paraId="6D63C02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Personality Mapping (Continued)</w:t>
            </w:r>
          </w:p>
        </w:tc>
        <w:tc>
          <w:tcPr>
            <w:tcW w:w="1770" w:type="dxa"/>
            <w:tcBorders>
              <w:top w:val="nil"/>
              <w:left w:val="nil"/>
              <w:bottom w:val="nil"/>
              <w:right w:val="nil"/>
            </w:tcBorders>
            <w:shd w:val="clear" w:color="auto" w:fill="auto"/>
            <w:vAlign w:val="center"/>
          </w:tcPr>
          <w:p w14:paraId="4EE241F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lang w:val="en-US"/>
              </w:rPr>
            </w:pPr>
            <w:r>
              <w:rPr>
                <w:rFonts w:hint="default" w:ascii="Goudy Old Style" w:hAnsi="Goudy Old Style" w:eastAsia="sans-serif" w:cs="Goudy Old Style"/>
                <w:color w:val="C00000"/>
                <w:kern w:val="0"/>
                <w:sz w:val="22"/>
                <w:szCs w:val="22"/>
                <w:lang w:val="en-US" w:eastAsia="zh-CN" w:bidi="ar"/>
              </w:rPr>
              <w:t>Pheona N. Wall (ED FLI)</w:t>
            </w:r>
          </w:p>
        </w:tc>
        <w:tc>
          <w:tcPr>
            <w:tcW w:w="2438" w:type="dxa"/>
            <w:tcBorders>
              <w:top w:val="nil"/>
              <w:left w:val="nil"/>
              <w:bottom w:val="nil"/>
              <w:right w:val="nil"/>
            </w:tcBorders>
            <w:shd w:val="clear" w:color="auto" w:fill="auto"/>
            <w:vAlign w:val="center"/>
          </w:tcPr>
          <w:p w14:paraId="335E4FE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Adaptive leadership in complex environments</w:t>
            </w:r>
          </w:p>
        </w:tc>
        <w:tc>
          <w:tcPr>
            <w:tcW w:w="2454" w:type="dxa"/>
            <w:tcBorders>
              <w:top w:val="nil"/>
              <w:left w:val="nil"/>
              <w:bottom w:val="nil"/>
              <w:right w:val="nil"/>
            </w:tcBorders>
            <w:shd w:val="clear" w:color="auto" w:fill="auto"/>
            <w:vAlign w:val="center"/>
          </w:tcPr>
          <w:p w14:paraId="719B468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Enhanced empathy and delegation skills</w:t>
            </w:r>
          </w:p>
        </w:tc>
      </w:tr>
      <w:tr w14:paraId="2C5E61FD">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64" w:type="dxa"/>
            <w:tcBorders>
              <w:top w:val="nil"/>
              <w:left w:val="nil"/>
              <w:bottom w:val="nil"/>
              <w:right w:val="nil"/>
            </w:tcBorders>
            <w:shd w:val="clear" w:color="auto" w:fill="auto"/>
            <w:vAlign w:val="center"/>
          </w:tcPr>
          <w:p w14:paraId="2EC55FD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Directors’ Legal Duties</w:t>
            </w:r>
          </w:p>
        </w:tc>
        <w:tc>
          <w:tcPr>
            <w:tcW w:w="1770" w:type="dxa"/>
            <w:tcBorders>
              <w:top w:val="nil"/>
              <w:left w:val="nil"/>
              <w:bottom w:val="nil"/>
              <w:right w:val="nil"/>
            </w:tcBorders>
            <w:shd w:val="clear" w:color="auto" w:fill="auto"/>
            <w:vAlign w:val="center"/>
          </w:tcPr>
          <w:p w14:paraId="24E6DC3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Caroline Egesa (Director URSB)</w:t>
            </w:r>
          </w:p>
        </w:tc>
        <w:tc>
          <w:tcPr>
            <w:tcW w:w="2438" w:type="dxa"/>
            <w:tcBorders>
              <w:top w:val="nil"/>
              <w:left w:val="nil"/>
              <w:bottom w:val="nil"/>
              <w:right w:val="nil"/>
            </w:tcBorders>
            <w:shd w:val="clear" w:color="auto" w:fill="auto"/>
            <w:vAlign w:val="center"/>
          </w:tcPr>
          <w:p w14:paraId="096BF23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Fiduciary care, loyalty, conflict management</w:t>
            </w:r>
          </w:p>
        </w:tc>
        <w:tc>
          <w:tcPr>
            <w:tcW w:w="2454" w:type="dxa"/>
            <w:tcBorders>
              <w:top w:val="nil"/>
              <w:left w:val="nil"/>
              <w:bottom w:val="nil"/>
              <w:right w:val="nil"/>
            </w:tcBorders>
            <w:shd w:val="clear" w:color="auto" w:fill="auto"/>
            <w:vAlign w:val="center"/>
          </w:tcPr>
          <w:p w14:paraId="31D22D1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Clarity on legal risks and board best practices</w:t>
            </w:r>
          </w:p>
        </w:tc>
      </w:tr>
      <w:tr w14:paraId="50E177DD">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tblCellMar>
            <w:top w:w="15" w:type="dxa"/>
            <w:left w:w="15" w:type="dxa"/>
            <w:bottom w:w="15" w:type="dxa"/>
            <w:right w:w="15" w:type="dxa"/>
          </w:tblCellMar>
        </w:tblPrEx>
        <w:tc>
          <w:tcPr>
            <w:tcW w:w="1664" w:type="dxa"/>
            <w:tcBorders>
              <w:top w:val="nil"/>
              <w:left w:val="nil"/>
              <w:bottom w:val="nil"/>
              <w:right w:val="nil"/>
            </w:tcBorders>
            <w:shd w:val="clear" w:color="auto" w:fill="auto"/>
            <w:vAlign w:val="center"/>
          </w:tcPr>
          <w:p w14:paraId="25BF511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NGO Act Deep Dive</w:t>
            </w:r>
          </w:p>
        </w:tc>
        <w:tc>
          <w:tcPr>
            <w:tcW w:w="1770" w:type="dxa"/>
            <w:tcBorders>
              <w:top w:val="nil"/>
              <w:left w:val="nil"/>
              <w:bottom w:val="nil"/>
              <w:right w:val="nil"/>
            </w:tcBorders>
            <w:shd w:val="clear" w:color="auto" w:fill="auto"/>
            <w:vAlign w:val="center"/>
          </w:tcPr>
          <w:p w14:paraId="584628A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lang w:val="en-US"/>
              </w:rPr>
            </w:pPr>
            <w:r>
              <w:rPr>
                <w:rFonts w:hint="default" w:ascii="Goudy Old Style" w:hAnsi="Goudy Old Style" w:eastAsia="sans-serif" w:cs="Goudy Old Style"/>
                <w:color w:val="C00000"/>
                <w:kern w:val="0"/>
                <w:sz w:val="22"/>
                <w:szCs w:val="22"/>
                <w:lang w:val="en-US" w:eastAsia="zh-CN" w:bidi="ar"/>
              </w:rPr>
              <w:t>Dr. Stephen Okello (CEO NGO BUREAU)</w:t>
            </w:r>
          </w:p>
        </w:tc>
        <w:tc>
          <w:tcPr>
            <w:tcW w:w="2438" w:type="dxa"/>
            <w:tcBorders>
              <w:top w:val="nil"/>
              <w:left w:val="nil"/>
              <w:bottom w:val="nil"/>
              <w:right w:val="nil"/>
            </w:tcBorders>
            <w:shd w:val="clear" w:color="auto" w:fill="auto"/>
            <w:vAlign w:val="center"/>
          </w:tcPr>
          <w:p w14:paraId="665CB44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Separation of powers, procurement transparency</w:t>
            </w:r>
          </w:p>
        </w:tc>
        <w:tc>
          <w:tcPr>
            <w:tcW w:w="2454" w:type="dxa"/>
            <w:tcBorders>
              <w:top w:val="nil"/>
              <w:left w:val="nil"/>
              <w:bottom w:val="nil"/>
              <w:right w:val="nil"/>
            </w:tcBorders>
            <w:shd w:val="clear" w:color="auto" w:fill="auto"/>
            <w:vAlign w:val="center"/>
          </w:tcPr>
          <w:p w14:paraId="6382FC4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Practical governance renewal steps</w:t>
            </w:r>
          </w:p>
        </w:tc>
      </w:tr>
      <w:tr w14:paraId="41A40D0A">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tblCellMar>
            <w:top w:w="15" w:type="dxa"/>
            <w:left w:w="15" w:type="dxa"/>
            <w:bottom w:w="15" w:type="dxa"/>
            <w:right w:w="15" w:type="dxa"/>
          </w:tblCellMar>
        </w:tblPrEx>
        <w:tc>
          <w:tcPr>
            <w:tcW w:w="1664" w:type="dxa"/>
            <w:tcBorders>
              <w:top w:val="nil"/>
              <w:left w:val="nil"/>
              <w:bottom w:val="nil"/>
              <w:right w:val="nil"/>
            </w:tcBorders>
            <w:shd w:val="clear" w:color="auto" w:fill="auto"/>
            <w:vAlign w:val="center"/>
          </w:tcPr>
          <w:p w14:paraId="5791344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Storytelling for Advocacy (STAR Method)</w:t>
            </w:r>
          </w:p>
        </w:tc>
        <w:tc>
          <w:tcPr>
            <w:tcW w:w="1770" w:type="dxa"/>
            <w:tcBorders>
              <w:top w:val="nil"/>
              <w:left w:val="nil"/>
              <w:bottom w:val="nil"/>
              <w:right w:val="nil"/>
            </w:tcBorders>
            <w:shd w:val="clear" w:color="auto" w:fill="auto"/>
            <w:vAlign w:val="center"/>
          </w:tcPr>
          <w:p w14:paraId="5C36383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lang w:val="en-US"/>
              </w:rPr>
            </w:pPr>
            <w:r>
              <w:rPr>
                <w:rFonts w:hint="default" w:ascii="Goudy Old Style" w:hAnsi="Goudy Old Style" w:eastAsia="sans-serif" w:cs="Goudy Old Style"/>
                <w:color w:val="C00000"/>
                <w:kern w:val="0"/>
                <w:sz w:val="22"/>
                <w:szCs w:val="22"/>
                <w:lang w:val="en-US" w:eastAsia="zh-CN" w:bidi="ar"/>
              </w:rPr>
              <w:t>Tina Wamala, MCIPR (Past President Public Relations Association of Uganda)</w:t>
            </w:r>
          </w:p>
        </w:tc>
        <w:tc>
          <w:tcPr>
            <w:tcW w:w="2438" w:type="dxa"/>
            <w:tcBorders>
              <w:top w:val="nil"/>
              <w:left w:val="nil"/>
              <w:bottom w:val="nil"/>
              <w:right w:val="nil"/>
            </w:tcBorders>
            <w:shd w:val="clear" w:color="auto" w:fill="auto"/>
            <w:vAlign w:val="center"/>
          </w:tcPr>
          <w:p w14:paraId="4DFC9EE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Emotional narratives that inspire action</w:t>
            </w:r>
          </w:p>
        </w:tc>
        <w:tc>
          <w:tcPr>
            <w:tcW w:w="2454" w:type="dxa"/>
            <w:tcBorders>
              <w:top w:val="nil"/>
              <w:left w:val="nil"/>
              <w:bottom w:val="nil"/>
              <w:right w:val="nil"/>
            </w:tcBorders>
            <w:shd w:val="clear" w:color="auto" w:fill="auto"/>
            <w:vAlign w:val="center"/>
          </w:tcPr>
          <w:p w14:paraId="38EF110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Mastery of impact communication</w:t>
            </w:r>
          </w:p>
        </w:tc>
      </w:tr>
      <w:tr w14:paraId="276EBFBF">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1664" w:type="dxa"/>
            <w:tcBorders>
              <w:top w:val="nil"/>
              <w:left w:val="nil"/>
              <w:bottom w:val="nil"/>
              <w:right w:val="nil"/>
            </w:tcBorders>
            <w:shd w:val="clear" w:color="auto" w:fill="auto"/>
            <w:vAlign w:val="center"/>
          </w:tcPr>
          <w:p w14:paraId="6C5DB51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Risk Planning &amp; Continuity</w:t>
            </w:r>
          </w:p>
        </w:tc>
        <w:tc>
          <w:tcPr>
            <w:tcW w:w="1770" w:type="dxa"/>
            <w:tcBorders>
              <w:top w:val="nil"/>
              <w:left w:val="nil"/>
              <w:bottom w:val="nil"/>
              <w:right w:val="nil"/>
            </w:tcBorders>
            <w:shd w:val="clear" w:color="auto" w:fill="auto"/>
            <w:vAlign w:val="center"/>
          </w:tcPr>
          <w:p w14:paraId="2AB16DB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lang w:val="en-US"/>
              </w:rPr>
            </w:pPr>
            <w:r>
              <w:rPr>
                <w:rFonts w:hint="default" w:ascii="Goudy Old Style" w:hAnsi="Goudy Old Style" w:eastAsia="sans-serif" w:cs="Goudy Old Style"/>
                <w:color w:val="C00000"/>
                <w:kern w:val="0"/>
                <w:sz w:val="22"/>
                <w:szCs w:val="22"/>
                <w:lang w:val="en-US" w:eastAsia="zh-CN" w:bidi="ar"/>
              </w:rPr>
              <w:t>Mr. Gerald Wall (CEO Universal Eagle Ent.)</w:t>
            </w:r>
          </w:p>
        </w:tc>
        <w:tc>
          <w:tcPr>
            <w:tcW w:w="2438" w:type="dxa"/>
            <w:tcBorders>
              <w:top w:val="nil"/>
              <w:left w:val="nil"/>
              <w:bottom w:val="nil"/>
              <w:right w:val="nil"/>
            </w:tcBorders>
            <w:shd w:val="clear" w:color="auto" w:fill="auto"/>
            <w:vAlign w:val="center"/>
          </w:tcPr>
          <w:p w14:paraId="021B67B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Cyber, funding, and reputational resilience</w:t>
            </w:r>
          </w:p>
        </w:tc>
        <w:tc>
          <w:tcPr>
            <w:tcW w:w="2454" w:type="dxa"/>
            <w:tcBorders>
              <w:top w:val="nil"/>
              <w:left w:val="nil"/>
              <w:bottom w:val="nil"/>
              <w:right w:val="nil"/>
            </w:tcBorders>
            <w:shd w:val="clear" w:color="auto" w:fill="auto"/>
            <w:vAlign w:val="center"/>
          </w:tcPr>
          <w:p w14:paraId="1777D46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Integrated risk frameworks</w:t>
            </w:r>
          </w:p>
        </w:tc>
      </w:tr>
      <w:tr w14:paraId="4CFC279A">
        <w:tblPrEx>
          <w:tblBorders>
            <w:top w:val="single" w:color="CFD9DE" w:sz="2" w:space="0"/>
            <w:left w:val="single" w:color="CFD9DE" w:sz="2" w:space="0"/>
            <w:bottom w:val="single" w:color="CFD9DE" w:sz="2" w:space="0"/>
            <w:right w:val="single" w:color="CFD9DE" w:sz="2" w:space="0"/>
            <w:insideH w:val="none" w:color="auto" w:sz="0" w:space="0"/>
            <w:insideV w:val="none" w:color="auto" w:sz="0" w:space="0"/>
          </w:tblBorders>
          <w:tblCellMar>
            <w:top w:w="15" w:type="dxa"/>
            <w:left w:w="15" w:type="dxa"/>
            <w:bottom w:w="15" w:type="dxa"/>
            <w:right w:w="15" w:type="dxa"/>
          </w:tblCellMar>
        </w:tblPrEx>
        <w:tc>
          <w:tcPr>
            <w:tcW w:w="1664" w:type="dxa"/>
            <w:tcBorders>
              <w:top w:val="nil"/>
              <w:left w:val="nil"/>
              <w:bottom w:val="nil"/>
              <w:right w:val="nil"/>
            </w:tcBorders>
            <w:shd w:val="clear" w:color="auto" w:fill="auto"/>
            <w:vAlign w:val="center"/>
          </w:tcPr>
          <w:p w14:paraId="7104F0E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Closing Commissioning</w:t>
            </w:r>
          </w:p>
        </w:tc>
        <w:tc>
          <w:tcPr>
            <w:tcW w:w="1770" w:type="dxa"/>
            <w:tcBorders>
              <w:top w:val="nil"/>
              <w:left w:val="nil"/>
              <w:bottom w:val="nil"/>
              <w:right w:val="nil"/>
            </w:tcBorders>
            <w:shd w:val="clear" w:color="auto" w:fill="auto"/>
            <w:vAlign w:val="center"/>
          </w:tcPr>
          <w:p w14:paraId="4755445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Dr. Katja Kerschbaumer (ADA)</w:t>
            </w:r>
          </w:p>
        </w:tc>
        <w:tc>
          <w:tcPr>
            <w:tcW w:w="2438" w:type="dxa"/>
            <w:tcBorders>
              <w:top w:val="nil"/>
              <w:left w:val="nil"/>
              <w:bottom w:val="nil"/>
              <w:right w:val="nil"/>
            </w:tcBorders>
            <w:shd w:val="clear" w:color="auto" w:fill="auto"/>
            <w:vAlign w:val="center"/>
          </w:tcPr>
          <w:p w14:paraId="7F915D9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Sustaining excellence through collaboration</w:t>
            </w:r>
          </w:p>
        </w:tc>
        <w:tc>
          <w:tcPr>
            <w:tcW w:w="2454" w:type="dxa"/>
            <w:tcBorders>
              <w:top w:val="nil"/>
              <w:left w:val="nil"/>
              <w:bottom w:val="nil"/>
              <w:right w:val="nil"/>
            </w:tcBorders>
            <w:shd w:val="clear" w:color="auto" w:fill="auto"/>
            <w:vAlign w:val="center"/>
          </w:tcPr>
          <w:p w14:paraId="796C5DF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C00000"/>
                <w:sz w:val="22"/>
                <w:szCs w:val="22"/>
              </w:rPr>
            </w:pPr>
            <w:r>
              <w:rPr>
                <w:rFonts w:hint="default" w:ascii="Goudy Old Style" w:hAnsi="Goudy Old Style" w:eastAsia="sans-serif" w:cs="Goudy Old Style"/>
                <w:color w:val="C00000"/>
                <w:kern w:val="0"/>
                <w:sz w:val="22"/>
                <w:szCs w:val="22"/>
                <w:lang w:val="en-US" w:eastAsia="zh-CN" w:bidi="ar"/>
              </w:rPr>
              <w:t>Graduates commissioned as governance champions</w:t>
            </w:r>
          </w:p>
        </w:tc>
      </w:tr>
    </w:tbl>
    <w:p w14:paraId="702A5C67">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b/>
          <w:bCs/>
          <w:color w:val="000000"/>
          <w:kern w:val="0"/>
          <w:sz w:val="24"/>
          <w:szCs w:val="24"/>
          <w:u w:val="none"/>
          <w:lang w:val="en-US" w:eastAsia="zh-CN" w:bidi="ar"/>
        </w:rPr>
      </w:pPr>
    </w:p>
    <w:p w14:paraId="07D30F03">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b/>
          <w:bCs/>
          <w:color w:val="000000"/>
          <w:kern w:val="0"/>
          <w:sz w:val="24"/>
          <w:szCs w:val="24"/>
          <w:u w:val="none"/>
          <w:lang w:val="en-US" w:eastAsia="zh-CN" w:bidi="ar"/>
        </w:rPr>
      </w:pPr>
    </w:p>
    <w:p w14:paraId="16FD3ECD">
      <w:pPr>
        <w:keepNext w:val="0"/>
        <w:keepLines w:val="0"/>
        <w:widowControl/>
        <w:numPr>
          <w:ilvl w:val="0"/>
          <w:numId w:val="3"/>
        </w:numPr>
        <w:suppressLineNumbers w:val="0"/>
        <w:spacing w:before="0" w:beforeAutospacing="0" w:after="0" w:afterAutospacing="0"/>
        <w:ind w:left="425" w:leftChars="0" w:right="0" w:rightChars="0" w:hanging="425" w:firstLineChars="0"/>
        <w:jc w:val="both"/>
        <w:rPr>
          <w:rFonts w:hint="default" w:ascii="Goudy Old Style" w:hAnsi="Goudy Old Style" w:cs="Goudy Old Style"/>
          <w:b/>
          <w:bCs/>
          <w:sz w:val="24"/>
          <w:szCs w:val="24"/>
        </w:rPr>
      </w:pPr>
      <w:r>
        <w:rPr>
          <w:rFonts w:hint="default" w:ascii="Goudy Old Style" w:hAnsi="Goudy Old Style" w:eastAsia="sans-serif" w:cs="Goudy Old Style"/>
          <w:b/>
          <w:bCs/>
          <w:color w:val="000000"/>
          <w:kern w:val="0"/>
          <w:sz w:val="24"/>
          <w:szCs w:val="24"/>
          <w:u w:val="none"/>
          <w:lang w:val="en-US" w:eastAsia="zh-CN" w:bidi="ar"/>
        </w:rPr>
        <w:t>KEY ACHIEVEMENTS AND LEARNING OUTCOMES</w:t>
      </w:r>
    </w:p>
    <w:p w14:paraId="54361935">
      <w:pPr>
        <w:pStyle w:val="11"/>
        <w:numPr>
          <w:ilvl w:val="0"/>
          <w:numId w:val="11"/>
        </w:numPr>
        <w:ind w:left="425" w:leftChars="0" w:hanging="425" w:firstLineChars="0"/>
        <w:rPr>
          <w:rFonts w:ascii="Goudy Old Style" w:hAnsi="Goudy Old Style"/>
        </w:rPr>
      </w:pPr>
      <w:r>
        <w:rPr>
          <w:rStyle w:val="12"/>
          <w:rFonts w:ascii="Goudy Old Style" w:hAnsi="Goudy Old Style"/>
        </w:rPr>
        <w:t>Enhanced understanding</w:t>
      </w:r>
      <w:r>
        <w:rPr>
          <w:rFonts w:ascii="Goudy Old Style" w:hAnsi="Goudy Old Style"/>
        </w:rPr>
        <w:t xml:space="preserve"> of governance and accountability frameworks for CSOs under Ugandan law.</w:t>
      </w:r>
    </w:p>
    <w:p w14:paraId="3A71E7A9">
      <w:pPr>
        <w:pStyle w:val="11"/>
        <w:numPr>
          <w:ilvl w:val="0"/>
          <w:numId w:val="11"/>
        </w:numPr>
        <w:ind w:left="425" w:leftChars="0" w:hanging="425" w:firstLineChars="0"/>
        <w:rPr>
          <w:rFonts w:ascii="Goudy Old Style" w:hAnsi="Goudy Old Style"/>
        </w:rPr>
      </w:pPr>
      <w:r>
        <w:rPr>
          <w:rStyle w:val="12"/>
          <w:rFonts w:ascii="Goudy Old Style" w:hAnsi="Goudy Old Style"/>
        </w:rPr>
        <w:t>Improved ethical decision-making</w:t>
      </w:r>
      <w:r>
        <w:rPr>
          <w:rFonts w:ascii="Goudy Old Style" w:hAnsi="Goudy Old Style"/>
        </w:rPr>
        <w:t xml:space="preserve"> and appreciation for values-based leadership.</w:t>
      </w:r>
    </w:p>
    <w:p w14:paraId="3ED11D54">
      <w:pPr>
        <w:pStyle w:val="11"/>
        <w:numPr>
          <w:ilvl w:val="0"/>
          <w:numId w:val="11"/>
        </w:numPr>
        <w:ind w:left="425" w:leftChars="0" w:hanging="425" w:firstLineChars="0"/>
        <w:rPr>
          <w:rFonts w:ascii="Goudy Old Style" w:hAnsi="Goudy Old Style"/>
        </w:rPr>
      </w:pPr>
      <w:r>
        <w:rPr>
          <w:rStyle w:val="12"/>
          <w:rFonts w:ascii="Goudy Old Style" w:hAnsi="Goudy Old Style"/>
        </w:rPr>
        <w:t>Strengthened communication and advocacy skills</w:t>
      </w:r>
      <w:r>
        <w:rPr>
          <w:rFonts w:ascii="Goudy Old Style" w:hAnsi="Goudy Old Style"/>
        </w:rPr>
        <w:t>, particularly in storytelling and public relations.</w:t>
      </w:r>
    </w:p>
    <w:p w14:paraId="775EFEAC">
      <w:pPr>
        <w:pStyle w:val="11"/>
        <w:numPr>
          <w:ilvl w:val="0"/>
          <w:numId w:val="11"/>
        </w:numPr>
        <w:ind w:left="425" w:leftChars="0" w:hanging="425" w:firstLineChars="0"/>
        <w:rPr>
          <w:rFonts w:ascii="Goudy Old Style" w:hAnsi="Goudy Old Style"/>
        </w:rPr>
      </w:pPr>
      <w:r>
        <w:rPr>
          <w:rStyle w:val="12"/>
          <w:rFonts w:ascii="Goudy Old Style" w:hAnsi="Goudy Old Style"/>
        </w:rPr>
        <w:t>Renewed commitment</w:t>
      </w:r>
      <w:r>
        <w:rPr>
          <w:rFonts w:ascii="Goudy Old Style" w:hAnsi="Goudy Old Style"/>
        </w:rPr>
        <w:t xml:space="preserve"> to transparency, compliance, and organizational sustainability.</w:t>
      </w:r>
    </w:p>
    <w:p w14:paraId="56C24B55">
      <w:pPr>
        <w:pStyle w:val="11"/>
        <w:numPr>
          <w:ilvl w:val="0"/>
          <w:numId w:val="11"/>
        </w:numPr>
        <w:ind w:left="425" w:leftChars="0" w:hanging="425" w:firstLineChars="0"/>
        <w:rPr>
          <w:rFonts w:hint="default" w:ascii="Goudy Old Style" w:hAnsi="Goudy Old Style" w:eastAsia="sans-serif" w:cs="Goudy Old Style"/>
          <w:color w:val="000000"/>
          <w:sz w:val="24"/>
          <w:szCs w:val="24"/>
        </w:rPr>
      </w:pPr>
      <w:r>
        <w:rPr>
          <w:rStyle w:val="12"/>
          <w:rFonts w:ascii="Goudy Old Style" w:hAnsi="Goudy Old Style"/>
        </w:rPr>
        <w:t>Established peer networks</w:t>
      </w:r>
      <w:r>
        <w:rPr>
          <w:rFonts w:ascii="Goudy Old Style" w:hAnsi="Goudy Old Style"/>
        </w:rPr>
        <w:t xml:space="preserve"> for continued learning, mentorship, and </w:t>
      </w:r>
      <w:r>
        <w:rPr>
          <w:rFonts w:hint="default" w:ascii="Goudy Old Style" w:hAnsi="Goudy Old Style"/>
          <w:lang w:val="en-US"/>
        </w:rPr>
        <w:t xml:space="preserve"> c</w:t>
      </w:r>
      <w:r>
        <w:rPr>
          <w:rFonts w:ascii="Goudy Old Style" w:hAnsi="Goudy Old Style"/>
        </w:rPr>
        <w:t>ollaboration among CSO leaders.</w:t>
      </w:r>
    </w:p>
    <w:p w14:paraId="58B54428">
      <w:pPr>
        <w:pStyle w:val="11"/>
        <w:numPr>
          <w:ilvl w:val="0"/>
          <w:numId w:val="11"/>
        </w:numPr>
        <w:ind w:left="425" w:leftChars="0" w:hanging="425" w:firstLineChars="0"/>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 xml:space="preserve">226 leaders trained (88 in-person, 138 virtual) </w:t>
      </w:r>
    </w:p>
    <w:p w14:paraId="619C12CA">
      <w:pPr>
        <w:pStyle w:val="11"/>
        <w:numPr>
          <w:ilvl w:val="0"/>
          <w:numId w:val="11"/>
        </w:numPr>
        <w:ind w:left="425" w:leftChars="0" w:hanging="425" w:firstLineChars="0"/>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62 CSOs equipped with governance toolkits, compliance templates, and risk registers</w:t>
      </w:r>
    </w:p>
    <w:p w14:paraId="5CAA8EF0">
      <w:pPr>
        <w:pStyle w:val="11"/>
        <w:numPr>
          <w:ilvl w:val="0"/>
          <w:numId w:val="11"/>
        </w:numPr>
        <w:ind w:left="425" w:leftChars="0" w:hanging="425" w:firstLineChars="0"/>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 xml:space="preserve">44% women + 1 PWD participation, with 15+ organizations committing to inclusive board policies </w:t>
      </w:r>
    </w:p>
    <w:p w14:paraId="23F4C80D">
      <w:pPr>
        <w:pStyle w:val="11"/>
        <w:numPr>
          <w:ilvl w:val="0"/>
          <w:numId w:val="11"/>
        </w:numPr>
        <w:ind w:left="425" w:leftChars="0" w:hanging="425" w:firstLineChars="0"/>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 xml:space="preserve">100+ action plans drafted for audits, board evaluations, and storytelling campaigns </w:t>
      </w:r>
    </w:p>
    <w:p w14:paraId="6FB63452">
      <w:pPr>
        <w:pStyle w:val="11"/>
        <w:numPr>
          <w:ilvl w:val="0"/>
          <w:numId w:val="11"/>
        </w:numPr>
        <w:ind w:left="425" w:leftChars="0" w:hanging="425" w:firstLineChars="0"/>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 xml:space="preserve">National CSO Peer Network launched for quarterly mentorship </w:t>
      </w:r>
    </w:p>
    <w:p w14:paraId="3BFA831F">
      <w:pPr>
        <w:pStyle w:val="11"/>
        <w:numPr>
          <w:ilvl w:val="0"/>
          <w:numId w:val="11"/>
        </w:numPr>
        <w:ind w:left="425" w:leftChars="0" w:hanging="425" w:firstLineChars="0"/>
        <w:rPr>
          <w:rFonts w:hint="default" w:ascii="Goudy Old Style" w:hAnsi="Goudy Old Style" w:cs="Goudy Old Style"/>
          <w:b/>
          <w:bCs/>
          <w:sz w:val="24"/>
          <w:szCs w:val="24"/>
        </w:rPr>
      </w:pPr>
      <w:r>
        <w:rPr>
          <w:rFonts w:hint="default" w:ascii="Goudy Old Style" w:hAnsi="Goudy Old Style" w:eastAsia="sans-serif" w:cs="Goudy Old Style"/>
          <w:color w:val="000000"/>
          <w:sz w:val="24"/>
          <w:szCs w:val="24"/>
          <w:u w:val="none"/>
        </w:rPr>
        <w:t>Full training video archive now live on YouTube — a permanent knowledge asset</w:t>
      </w:r>
    </w:p>
    <w:p w14:paraId="09776A75">
      <w:pPr>
        <w:pStyle w:val="11"/>
        <w:numPr>
          <w:ilvl w:val="0"/>
          <w:numId w:val="3"/>
        </w:numPr>
        <w:ind w:left="425" w:leftChars="0" w:hanging="425" w:firstLineChars="0"/>
        <w:rPr>
          <w:rFonts w:hint="default" w:ascii="Goudy Old Style" w:hAnsi="Goudy Old Style" w:cs="Goudy Old Style"/>
          <w:b/>
          <w:bCs/>
          <w:sz w:val="24"/>
          <w:szCs w:val="24"/>
        </w:rPr>
      </w:pPr>
      <w:r>
        <w:rPr>
          <w:rFonts w:hint="default" w:ascii="Goudy Old Style" w:hAnsi="Goudy Old Style" w:eastAsia="sans-serif" w:cs="Goudy Old Style"/>
          <w:b/>
          <w:bCs/>
          <w:color w:val="000000"/>
          <w:kern w:val="0"/>
          <w:sz w:val="24"/>
          <w:szCs w:val="24"/>
          <w:u w:val="none"/>
          <w:lang w:val="en-US" w:eastAsia="zh-CN" w:bidi="ar"/>
        </w:rPr>
        <w:t>EXPANDED IMPACT: TOPIC-BY-TOPIC TRANSFORMATION</w:t>
      </w:r>
    </w:p>
    <w:tbl>
      <w:tblPr>
        <w:tblStyle w:val="6"/>
        <w:tblW w:w="0" w:type="auto"/>
        <w:tblInd w:w="15" w:type="dxa"/>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17"/>
        <w:gridCol w:w="2537"/>
        <w:gridCol w:w="2631"/>
        <w:gridCol w:w="2036"/>
      </w:tblGrid>
      <w:tr w14:paraId="0A4E2398">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nil"/>
              <w:left w:val="nil"/>
              <w:bottom w:val="nil"/>
              <w:right w:val="nil"/>
            </w:tcBorders>
            <w:shd w:val="clear" w:color="auto" w:fill="auto"/>
            <w:noWrap/>
            <w:vAlign w:val="center"/>
          </w:tcPr>
          <w:p w14:paraId="5779598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548235" w:themeColor="accent6" w:themeShade="BF"/>
                <w:sz w:val="22"/>
                <w:szCs w:val="22"/>
              </w:rPr>
            </w:pPr>
            <w:r>
              <w:rPr>
                <w:rFonts w:hint="default" w:ascii="Goudy Old Style" w:hAnsi="Goudy Old Style" w:eastAsia="sans-serif" w:cs="Goudy Old Style"/>
                <w:b/>
                <w:bCs/>
                <w:color w:val="548235" w:themeColor="accent6" w:themeShade="BF"/>
                <w:kern w:val="0"/>
                <w:sz w:val="22"/>
                <w:szCs w:val="22"/>
                <w:lang w:val="en-US" w:eastAsia="zh-CN" w:bidi="ar"/>
              </w:rPr>
              <w:t>Training Topic</w:t>
            </w:r>
          </w:p>
        </w:tc>
        <w:tc>
          <w:tcPr>
            <w:tcW w:w="0" w:type="auto"/>
            <w:tcBorders>
              <w:top w:val="nil"/>
              <w:left w:val="nil"/>
              <w:bottom w:val="nil"/>
              <w:right w:val="nil"/>
            </w:tcBorders>
            <w:shd w:val="clear" w:color="auto" w:fill="auto"/>
            <w:noWrap/>
            <w:vAlign w:val="center"/>
          </w:tcPr>
          <w:p w14:paraId="0908F6D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548235" w:themeColor="accent6" w:themeShade="BF"/>
                <w:sz w:val="22"/>
                <w:szCs w:val="22"/>
              </w:rPr>
            </w:pPr>
            <w:r>
              <w:rPr>
                <w:rFonts w:hint="default" w:ascii="Goudy Old Style" w:hAnsi="Goudy Old Style" w:eastAsia="sans-serif" w:cs="Goudy Old Style"/>
                <w:b/>
                <w:bCs/>
                <w:color w:val="548235" w:themeColor="accent6" w:themeShade="BF"/>
                <w:kern w:val="0"/>
                <w:sz w:val="22"/>
                <w:szCs w:val="22"/>
                <w:lang w:val="en-US" w:eastAsia="zh-CN" w:bidi="ar"/>
              </w:rPr>
              <w:t>Immediate Impact (Within 7 Days)</w:t>
            </w:r>
          </w:p>
        </w:tc>
        <w:tc>
          <w:tcPr>
            <w:tcW w:w="0" w:type="auto"/>
            <w:tcBorders>
              <w:top w:val="nil"/>
              <w:left w:val="nil"/>
              <w:bottom w:val="nil"/>
              <w:right w:val="nil"/>
            </w:tcBorders>
            <w:shd w:val="clear" w:color="auto" w:fill="auto"/>
            <w:noWrap/>
            <w:vAlign w:val="center"/>
          </w:tcPr>
          <w:p w14:paraId="58D7AE8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548235" w:themeColor="accent6" w:themeShade="BF"/>
                <w:sz w:val="22"/>
                <w:szCs w:val="22"/>
              </w:rPr>
            </w:pPr>
            <w:r>
              <w:rPr>
                <w:rFonts w:hint="default" w:ascii="Goudy Old Style" w:hAnsi="Goudy Old Style" w:eastAsia="sans-serif" w:cs="Goudy Old Style"/>
                <w:b/>
                <w:bCs/>
                <w:color w:val="548235" w:themeColor="accent6" w:themeShade="BF"/>
                <w:kern w:val="0"/>
                <w:sz w:val="22"/>
                <w:szCs w:val="22"/>
                <w:lang w:val="en-US" w:eastAsia="zh-CN" w:bidi="ar"/>
              </w:rPr>
              <w:t>Medium-Term Impact (3–6 Months)</w:t>
            </w:r>
          </w:p>
        </w:tc>
        <w:tc>
          <w:tcPr>
            <w:tcW w:w="0" w:type="auto"/>
            <w:tcBorders>
              <w:top w:val="nil"/>
              <w:left w:val="nil"/>
              <w:bottom w:val="nil"/>
              <w:right w:val="nil"/>
            </w:tcBorders>
            <w:shd w:val="clear" w:color="auto" w:fill="auto"/>
            <w:noWrap/>
            <w:vAlign w:val="center"/>
          </w:tcPr>
          <w:p w14:paraId="0D9EC6F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b/>
                <w:bCs/>
                <w:color w:val="548235" w:themeColor="accent6" w:themeShade="BF"/>
                <w:sz w:val="22"/>
                <w:szCs w:val="22"/>
              </w:rPr>
            </w:pPr>
            <w:r>
              <w:rPr>
                <w:rFonts w:hint="default" w:ascii="Goudy Old Style" w:hAnsi="Goudy Old Style" w:eastAsia="sans-serif" w:cs="Goudy Old Style"/>
                <w:b/>
                <w:bCs/>
                <w:color w:val="548235" w:themeColor="accent6" w:themeShade="BF"/>
                <w:kern w:val="0"/>
                <w:sz w:val="22"/>
                <w:szCs w:val="22"/>
                <w:lang w:val="en-US" w:eastAsia="zh-CN" w:bidi="ar"/>
              </w:rPr>
              <w:t>Long-Term Systemic Impact</w:t>
            </w:r>
          </w:p>
        </w:tc>
      </w:tr>
      <w:tr w14:paraId="31D41A6E">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nil"/>
              <w:left w:val="nil"/>
              <w:bottom w:val="nil"/>
              <w:right w:val="nil"/>
            </w:tcBorders>
            <w:shd w:val="clear" w:color="auto" w:fill="auto"/>
            <w:vAlign w:val="center"/>
          </w:tcPr>
          <w:p w14:paraId="3FBE77F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URSB &amp; NGO Act Compliance</w:t>
            </w:r>
          </w:p>
        </w:tc>
        <w:tc>
          <w:tcPr>
            <w:tcW w:w="0" w:type="auto"/>
            <w:tcBorders>
              <w:top w:val="nil"/>
              <w:left w:val="nil"/>
              <w:bottom w:val="nil"/>
              <w:right w:val="nil"/>
            </w:tcBorders>
            <w:shd w:val="clear" w:color="auto" w:fill="auto"/>
            <w:vAlign w:val="center"/>
          </w:tcPr>
          <w:p w14:paraId="0286AB2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18 organizations filed overdue annual returns; 3 initiated registration renewals</w:t>
            </w:r>
          </w:p>
        </w:tc>
        <w:tc>
          <w:tcPr>
            <w:tcW w:w="0" w:type="auto"/>
            <w:tcBorders>
              <w:top w:val="nil"/>
              <w:left w:val="nil"/>
              <w:bottom w:val="nil"/>
              <w:right w:val="nil"/>
            </w:tcBorders>
            <w:shd w:val="clear" w:color="auto" w:fill="auto"/>
            <w:vAlign w:val="center"/>
          </w:tcPr>
          <w:p w14:paraId="2AE92B4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Full compliance audits scheduled; URSB-NGO Bureau joint validation planned</w:t>
            </w:r>
          </w:p>
        </w:tc>
        <w:tc>
          <w:tcPr>
            <w:tcW w:w="0" w:type="auto"/>
            <w:tcBorders>
              <w:top w:val="nil"/>
              <w:left w:val="nil"/>
              <w:bottom w:val="nil"/>
              <w:right w:val="nil"/>
            </w:tcBorders>
            <w:shd w:val="clear" w:color="auto" w:fill="auto"/>
            <w:vAlign w:val="center"/>
          </w:tcPr>
          <w:p w14:paraId="7CFEC7C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Reduced regulatory sanctions; increased donor confidence</w:t>
            </w:r>
          </w:p>
        </w:tc>
      </w:tr>
      <w:tr w14:paraId="7E9D6C94">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right w:val="nil"/>
            </w:tcBorders>
            <w:shd w:val="clear" w:color="auto" w:fill="auto"/>
            <w:vAlign w:val="center"/>
          </w:tcPr>
          <w:p w14:paraId="379365E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Board-Executive Role Clarity</w:t>
            </w:r>
          </w:p>
        </w:tc>
        <w:tc>
          <w:tcPr>
            <w:tcW w:w="0" w:type="auto"/>
            <w:tcBorders>
              <w:top w:val="nil"/>
              <w:left w:val="nil"/>
              <w:bottom w:val="nil"/>
              <w:right w:val="nil"/>
            </w:tcBorders>
            <w:shd w:val="clear" w:color="auto" w:fill="auto"/>
            <w:vAlign w:val="center"/>
          </w:tcPr>
          <w:p w14:paraId="4F855E8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12 CSOs drafted MoUs separating governance from management</w:t>
            </w:r>
          </w:p>
        </w:tc>
        <w:tc>
          <w:tcPr>
            <w:tcW w:w="0" w:type="auto"/>
            <w:tcBorders>
              <w:top w:val="nil"/>
              <w:left w:val="nil"/>
              <w:bottom w:val="nil"/>
              <w:right w:val="nil"/>
            </w:tcBorders>
            <w:shd w:val="clear" w:color="auto" w:fill="auto"/>
            <w:vAlign w:val="center"/>
          </w:tcPr>
          <w:p w14:paraId="0AF17A4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Board performance evaluations rolled out</w:t>
            </w:r>
          </w:p>
        </w:tc>
        <w:tc>
          <w:tcPr>
            <w:tcW w:w="0" w:type="auto"/>
            <w:tcBorders>
              <w:top w:val="nil"/>
              <w:left w:val="nil"/>
              <w:bottom w:val="nil"/>
              <w:right w:val="nil"/>
            </w:tcBorders>
            <w:shd w:val="clear" w:color="auto" w:fill="auto"/>
            <w:vAlign w:val="center"/>
          </w:tcPr>
          <w:p w14:paraId="147BA2E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Elimination of internal conflicts; stronger institutional stability</w:t>
            </w:r>
          </w:p>
        </w:tc>
      </w:tr>
      <w:tr w14:paraId="2F2CF0DF">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nil"/>
              <w:left w:val="nil"/>
              <w:bottom w:val="nil"/>
              <w:right w:val="nil"/>
            </w:tcBorders>
            <w:shd w:val="clear" w:color="auto" w:fill="auto"/>
            <w:vAlign w:val="center"/>
          </w:tcPr>
          <w:p w14:paraId="53D3D33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Ethical Leadership &amp; F.A.T. Values</w:t>
            </w:r>
          </w:p>
        </w:tc>
        <w:tc>
          <w:tcPr>
            <w:tcW w:w="0" w:type="auto"/>
            <w:tcBorders>
              <w:top w:val="nil"/>
              <w:left w:val="nil"/>
              <w:bottom w:val="nil"/>
              <w:right w:val="nil"/>
            </w:tcBorders>
            <w:shd w:val="clear" w:color="auto" w:fill="auto"/>
            <w:vAlign w:val="center"/>
          </w:tcPr>
          <w:p w14:paraId="6F06494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25 leaders revised personal leadership charters</w:t>
            </w:r>
          </w:p>
        </w:tc>
        <w:tc>
          <w:tcPr>
            <w:tcW w:w="0" w:type="auto"/>
            <w:tcBorders>
              <w:top w:val="nil"/>
              <w:left w:val="nil"/>
              <w:bottom w:val="nil"/>
              <w:right w:val="nil"/>
            </w:tcBorders>
            <w:shd w:val="clear" w:color="auto" w:fill="auto"/>
            <w:vAlign w:val="center"/>
          </w:tcPr>
          <w:p w14:paraId="1D088F1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Ethics codes adopted in 20+ orgs</w:t>
            </w:r>
          </w:p>
        </w:tc>
        <w:tc>
          <w:tcPr>
            <w:tcW w:w="0" w:type="auto"/>
            <w:tcBorders>
              <w:top w:val="nil"/>
              <w:left w:val="nil"/>
              <w:bottom w:val="nil"/>
              <w:right w:val="nil"/>
            </w:tcBorders>
            <w:shd w:val="clear" w:color="auto" w:fill="auto"/>
            <w:vAlign w:val="center"/>
          </w:tcPr>
          <w:p w14:paraId="1EF8809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Culture of integrity becomes sector norm</w:t>
            </w:r>
          </w:p>
        </w:tc>
      </w:tr>
      <w:tr w14:paraId="49506991">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nil"/>
              <w:left w:val="nil"/>
              <w:bottom w:val="nil"/>
              <w:right w:val="nil"/>
            </w:tcBorders>
            <w:shd w:val="clear" w:color="auto" w:fill="auto"/>
            <w:vAlign w:val="center"/>
          </w:tcPr>
          <w:p w14:paraId="63C13EA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Storytelling &amp; Advocacy (STAR Method)</w:t>
            </w:r>
          </w:p>
        </w:tc>
        <w:tc>
          <w:tcPr>
            <w:tcW w:w="0" w:type="auto"/>
            <w:tcBorders>
              <w:top w:val="nil"/>
              <w:left w:val="nil"/>
              <w:bottom w:val="nil"/>
              <w:right w:val="nil"/>
            </w:tcBorders>
            <w:shd w:val="clear" w:color="auto" w:fill="auto"/>
            <w:vAlign w:val="center"/>
          </w:tcPr>
          <w:p w14:paraId="7834967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8 CSOs launched impact campaigns using trained narratives</w:t>
            </w:r>
          </w:p>
        </w:tc>
        <w:tc>
          <w:tcPr>
            <w:tcW w:w="0" w:type="auto"/>
            <w:tcBorders>
              <w:top w:val="nil"/>
              <w:left w:val="nil"/>
              <w:bottom w:val="nil"/>
              <w:right w:val="nil"/>
            </w:tcBorders>
            <w:shd w:val="clear" w:color="auto" w:fill="auto"/>
            <w:vAlign w:val="center"/>
          </w:tcPr>
          <w:p w14:paraId="0C252AE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Media partnerships formed; public trust scores rise</w:t>
            </w:r>
          </w:p>
        </w:tc>
        <w:tc>
          <w:tcPr>
            <w:tcW w:w="0" w:type="auto"/>
            <w:tcBorders>
              <w:top w:val="nil"/>
              <w:left w:val="nil"/>
              <w:bottom w:val="nil"/>
              <w:right w:val="nil"/>
            </w:tcBorders>
            <w:shd w:val="clear" w:color="auto" w:fill="auto"/>
            <w:vAlign w:val="center"/>
          </w:tcPr>
          <w:p w14:paraId="1F5F780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CSOs lead national discourse on social justice</w:t>
            </w:r>
          </w:p>
        </w:tc>
      </w:tr>
      <w:tr w14:paraId="5B36FA36">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nil"/>
              <w:left w:val="nil"/>
              <w:bottom w:val="nil"/>
              <w:right w:val="nil"/>
            </w:tcBorders>
            <w:shd w:val="clear" w:color="auto" w:fill="auto"/>
            <w:vAlign w:val="center"/>
          </w:tcPr>
          <w:p w14:paraId="2E484B2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Gender &amp; Disability Inclusion</w:t>
            </w:r>
          </w:p>
        </w:tc>
        <w:tc>
          <w:tcPr>
            <w:tcW w:w="0" w:type="auto"/>
            <w:tcBorders>
              <w:top w:val="nil"/>
              <w:left w:val="nil"/>
              <w:bottom w:val="nil"/>
              <w:right w:val="nil"/>
            </w:tcBorders>
            <w:shd w:val="clear" w:color="auto" w:fill="auto"/>
            <w:vAlign w:val="center"/>
          </w:tcPr>
          <w:p w14:paraId="5CB6D58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IDIWA PWD leader co-designed accessibility checklist; 10 orgs added PWD quotas</w:t>
            </w:r>
          </w:p>
        </w:tc>
        <w:tc>
          <w:tcPr>
            <w:tcW w:w="0" w:type="auto"/>
            <w:tcBorders>
              <w:top w:val="nil"/>
              <w:left w:val="nil"/>
              <w:bottom w:val="nil"/>
              <w:right w:val="nil"/>
            </w:tcBorders>
            <w:shd w:val="clear" w:color="auto" w:fill="auto"/>
            <w:vAlign w:val="center"/>
          </w:tcPr>
          <w:p w14:paraId="4D05F0F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Gender/disability audits integrated into governance</w:t>
            </w:r>
          </w:p>
        </w:tc>
        <w:tc>
          <w:tcPr>
            <w:tcW w:w="0" w:type="auto"/>
            <w:tcBorders>
              <w:top w:val="nil"/>
              <w:left w:val="nil"/>
              <w:bottom w:val="nil"/>
              <w:right w:val="nil"/>
            </w:tcBorders>
            <w:shd w:val="clear" w:color="auto" w:fill="auto"/>
            <w:vAlign w:val="center"/>
          </w:tcPr>
          <w:p w14:paraId="79C2C9C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Inclusive leadership models replicated nationally</w:t>
            </w:r>
          </w:p>
        </w:tc>
      </w:tr>
      <w:tr w14:paraId="3904F3C8">
        <w:tblPrEx>
          <w:tblBorders>
            <w:top w:val="single" w:color="CFD9DE" w:sz="2" w:space="0"/>
            <w:left w:val="single" w:color="CFD9DE" w:sz="2" w:space="0"/>
            <w:bottom w:val="single" w:color="CFD9DE" w:sz="2"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nil"/>
              <w:left w:val="nil"/>
              <w:bottom w:val="nil"/>
              <w:right w:val="nil"/>
            </w:tcBorders>
            <w:shd w:val="clear" w:color="auto" w:fill="auto"/>
            <w:vAlign w:val="center"/>
          </w:tcPr>
          <w:p w14:paraId="378DA8F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Strategic Risk Planning</w:t>
            </w:r>
          </w:p>
        </w:tc>
        <w:tc>
          <w:tcPr>
            <w:tcW w:w="0" w:type="auto"/>
            <w:tcBorders>
              <w:top w:val="nil"/>
              <w:left w:val="nil"/>
              <w:bottom w:val="nil"/>
              <w:right w:val="nil"/>
            </w:tcBorders>
            <w:shd w:val="clear" w:color="auto" w:fill="auto"/>
            <w:vAlign w:val="center"/>
          </w:tcPr>
          <w:p w14:paraId="1A07184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15 risk registers completed; cybersecurity protocols activated</w:t>
            </w:r>
          </w:p>
        </w:tc>
        <w:tc>
          <w:tcPr>
            <w:tcW w:w="0" w:type="auto"/>
            <w:tcBorders>
              <w:top w:val="nil"/>
              <w:left w:val="nil"/>
              <w:bottom w:val="nil"/>
              <w:right w:val="nil"/>
            </w:tcBorders>
            <w:shd w:val="clear" w:color="auto" w:fill="auto"/>
            <w:vAlign w:val="center"/>
          </w:tcPr>
          <w:p w14:paraId="254A7BD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Continuity plans tested</w:t>
            </w:r>
          </w:p>
        </w:tc>
        <w:tc>
          <w:tcPr>
            <w:tcW w:w="0" w:type="auto"/>
            <w:tcBorders>
              <w:top w:val="nil"/>
              <w:left w:val="nil"/>
              <w:bottom w:val="nil"/>
              <w:right w:val="nil"/>
            </w:tcBorders>
            <w:shd w:val="clear" w:color="auto" w:fill="auto"/>
            <w:vAlign w:val="center"/>
          </w:tcPr>
          <w:p w14:paraId="645A872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sz w:val="22"/>
                <w:szCs w:val="22"/>
              </w:rPr>
            </w:pPr>
            <w:r>
              <w:rPr>
                <w:rFonts w:hint="default" w:ascii="Goudy Old Style" w:hAnsi="Goudy Old Style" w:eastAsia="sans-serif" w:cs="Goudy Old Style"/>
                <w:color w:val="548235" w:themeColor="accent6" w:themeShade="BF"/>
                <w:kern w:val="0"/>
                <w:sz w:val="22"/>
                <w:szCs w:val="22"/>
                <w:lang w:val="en-US" w:eastAsia="zh-CN" w:bidi="ar"/>
              </w:rPr>
              <w:t>Resilient CSO sector withstands shocks</w:t>
            </w:r>
          </w:p>
        </w:tc>
      </w:tr>
      <w:tr w14:paraId="3958B3AF">
        <w:tblPrEx>
          <w:tblBorders>
            <w:top w:val="single" w:color="CFD9DE" w:sz="2" w:space="0"/>
            <w:left w:val="single" w:color="CFD9DE" w:sz="2" w:space="0"/>
            <w:bottom w:val="single" w:color="CFD9DE" w:sz="2"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nil"/>
              <w:left w:val="nil"/>
              <w:bottom w:val="nil"/>
              <w:right w:val="nil"/>
            </w:tcBorders>
            <w:shd w:val="clear" w:color="auto" w:fill="auto"/>
            <w:vAlign w:val="center"/>
          </w:tcPr>
          <w:p w14:paraId="7527033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kern w:val="0"/>
                <w:sz w:val="22"/>
                <w:szCs w:val="22"/>
                <w:lang w:val="en-US" w:eastAsia="zh-CN" w:bidi="ar"/>
              </w:rPr>
            </w:pPr>
          </w:p>
          <w:p w14:paraId="75DB17A3">
            <w:pPr>
              <w:keepNext w:val="0"/>
              <w:keepLines w:val="0"/>
              <w:widowControl/>
              <w:suppressLineNumbers w:val="0"/>
              <w:pBdr>
                <w:top w:val="none" w:color="auto" w:sz="0" w:space="0"/>
                <w:left w:val="none" w:color="auto" w:sz="0" w:space="0"/>
                <w:bottom w:val="none" w:color="auto" w:sz="0" w:space="0"/>
                <w:right w:val="none" w:color="auto" w:sz="0" w:space="0"/>
              </w:pBdr>
              <w:bidi w:val="0"/>
              <w:jc w:val="left"/>
              <w:rPr>
                <w:rFonts w:hint="default" w:ascii="Goudy Old Style" w:hAnsi="Goudy Old Style" w:eastAsia="sans-serif" w:cs="Goudy Old Style"/>
                <w:color w:val="548235" w:themeColor="accent6" w:themeShade="BF"/>
                <w:kern w:val="0"/>
                <w:sz w:val="22"/>
                <w:szCs w:val="22"/>
                <w:lang w:val="en-US" w:eastAsia="zh-CN" w:bidi="ar"/>
              </w:rPr>
            </w:pPr>
          </w:p>
        </w:tc>
        <w:tc>
          <w:tcPr>
            <w:tcW w:w="0" w:type="auto"/>
            <w:tcBorders>
              <w:top w:val="nil"/>
              <w:left w:val="nil"/>
              <w:bottom w:val="nil"/>
              <w:right w:val="nil"/>
            </w:tcBorders>
            <w:shd w:val="clear" w:color="auto" w:fill="auto"/>
            <w:vAlign w:val="center"/>
          </w:tcPr>
          <w:p w14:paraId="637D461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kern w:val="0"/>
                <w:sz w:val="22"/>
                <w:szCs w:val="22"/>
                <w:lang w:val="en-US" w:eastAsia="zh-CN" w:bidi="ar"/>
              </w:rPr>
            </w:pPr>
          </w:p>
        </w:tc>
        <w:tc>
          <w:tcPr>
            <w:tcW w:w="0" w:type="auto"/>
            <w:tcBorders>
              <w:top w:val="nil"/>
              <w:left w:val="nil"/>
              <w:bottom w:val="nil"/>
              <w:right w:val="nil"/>
            </w:tcBorders>
            <w:shd w:val="clear" w:color="auto" w:fill="auto"/>
            <w:vAlign w:val="center"/>
          </w:tcPr>
          <w:p w14:paraId="73EB91B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kern w:val="0"/>
                <w:sz w:val="22"/>
                <w:szCs w:val="22"/>
                <w:lang w:val="en-US" w:eastAsia="zh-CN" w:bidi="ar"/>
              </w:rPr>
            </w:pPr>
          </w:p>
        </w:tc>
        <w:tc>
          <w:tcPr>
            <w:tcW w:w="0" w:type="auto"/>
            <w:tcBorders>
              <w:top w:val="nil"/>
              <w:left w:val="nil"/>
              <w:bottom w:val="nil"/>
              <w:right w:val="nil"/>
            </w:tcBorders>
            <w:shd w:val="clear" w:color="auto" w:fill="auto"/>
            <w:vAlign w:val="center"/>
          </w:tcPr>
          <w:p w14:paraId="62008AB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left"/>
              <w:rPr>
                <w:rFonts w:hint="default" w:ascii="Goudy Old Style" w:hAnsi="Goudy Old Style" w:eastAsia="sans-serif" w:cs="Goudy Old Style"/>
                <w:color w:val="548235" w:themeColor="accent6" w:themeShade="BF"/>
                <w:kern w:val="0"/>
                <w:sz w:val="22"/>
                <w:szCs w:val="22"/>
                <w:lang w:val="en-US" w:eastAsia="zh-CN" w:bidi="ar"/>
              </w:rPr>
            </w:pPr>
          </w:p>
        </w:tc>
      </w:tr>
    </w:tbl>
    <w:p w14:paraId="43B8ABB9">
      <w:pPr>
        <w:keepNext w:val="0"/>
        <w:keepLines w:val="0"/>
        <w:widowControl/>
        <w:numPr>
          <w:ilvl w:val="0"/>
          <w:numId w:val="3"/>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425" w:leftChars="0" w:right="0" w:rightChars="0" w:hanging="425" w:firstLineChars="0"/>
        <w:jc w:val="both"/>
        <w:rPr>
          <w:rFonts w:hint="default" w:ascii="Goudy Old Style" w:hAnsi="Goudy Old Style" w:eastAsia="sans-serif" w:cs="Goudy Old Style"/>
          <w:b/>
          <w:bCs/>
          <w:color w:val="000000"/>
          <w:sz w:val="24"/>
          <w:szCs w:val="24"/>
          <w:u w:val="none"/>
        </w:rPr>
      </w:pPr>
      <w:r>
        <w:rPr>
          <w:rFonts w:hint="default" w:ascii="Goudy Old Style" w:hAnsi="Goudy Old Style" w:eastAsia="sans-serif" w:cs="Goudy Old Style"/>
          <w:b/>
          <w:bCs/>
          <w:color w:val="000000"/>
          <w:kern w:val="0"/>
          <w:sz w:val="24"/>
          <w:szCs w:val="24"/>
          <w:u w:val="none"/>
          <w:lang w:val="en-US" w:eastAsia="zh-CN" w:bidi="ar"/>
        </w:rPr>
        <w:t xml:space="preserve">Quantitative Impact Snapshot (Post-Training Survey, n=72): </w:t>
      </w:r>
    </w:p>
    <w:p w14:paraId="5BF2CBCF">
      <w:pPr>
        <w:keepNext w:val="0"/>
        <w:keepLines w:val="0"/>
        <w:widowControl/>
        <w:numPr>
          <w:ilvl w:val="0"/>
          <w:numId w:val="12"/>
        </w:numPr>
        <w:suppressLineNumbers w:val="0"/>
        <w:spacing w:before="0"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94% report increased confidence in legal compliance</w:t>
      </w:r>
      <w:r>
        <w:rPr>
          <w:rFonts w:hint="default" w:ascii="Goudy Old Style" w:hAnsi="Goudy Old Style" w:eastAsia="sans-serif" w:cs="Goudy Old Style"/>
          <w:color w:val="000000"/>
          <w:sz w:val="24"/>
          <w:szCs w:val="24"/>
          <w:u w:val="none"/>
          <w:lang w:val="en-US"/>
        </w:rPr>
        <w:t>.</w:t>
      </w:r>
    </w:p>
    <w:p w14:paraId="78D54F15">
      <w:pPr>
        <w:keepNext w:val="0"/>
        <w:keepLines w:val="0"/>
        <w:widowControl/>
        <w:numPr>
          <w:ilvl w:val="0"/>
          <w:numId w:val="12"/>
        </w:numPr>
        <w:suppressLineNumbers w:val="0"/>
        <w:spacing w:before="105"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89% have initiated one governance reform</w:t>
      </w:r>
      <w:r>
        <w:rPr>
          <w:rFonts w:hint="default" w:ascii="Goudy Old Style" w:hAnsi="Goudy Old Style" w:eastAsia="sans-serif" w:cs="Goudy Old Style"/>
          <w:color w:val="000000"/>
          <w:sz w:val="24"/>
          <w:szCs w:val="24"/>
          <w:u w:val="none"/>
          <w:lang w:val="en-US"/>
        </w:rPr>
        <w:t>.</w:t>
      </w:r>
      <w:r>
        <w:rPr>
          <w:rFonts w:hint="default" w:ascii="Goudy Old Style" w:hAnsi="Goudy Old Style" w:eastAsia="sans-serif" w:cs="Goudy Old Style"/>
          <w:color w:val="000000"/>
          <w:sz w:val="24"/>
          <w:szCs w:val="24"/>
          <w:u w:val="none"/>
        </w:rPr>
        <w:t xml:space="preserve"> </w:t>
      </w:r>
    </w:p>
    <w:p w14:paraId="2D799632">
      <w:pPr>
        <w:keepNext w:val="0"/>
        <w:keepLines w:val="0"/>
        <w:widowControl/>
        <w:numPr>
          <w:ilvl w:val="0"/>
          <w:numId w:val="12"/>
        </w:numPr>
        <w:suppressLineNumbers w:val="0"/>
        <w:spacing w:before="105"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97% say storytelling skills improved advocacy reach</w:t>
      </w:r>
      <w:r>
        <w:rPr>
          <w:rFonts w:hint="default" w:ascii="Goudy Old Style" w:hAnsi="Goudy Old Style" w:eastAsia="sans-serif" w:cs="Goudy Old Style"/>
          <w:color w:val="000000"/>
          <w:sz w:val="24"/>
          <w:szCs w:val="24"/>
          <w:u w:val="none"/>
          <w:lang w:val="en-US"/>
        </w:rPr>
        <w:t>.</w:t>
      </w:r>
    </w:p>
    <w:p w14:paraId="07637FC7">
      <w:pPr>
        <w:keepNext w:val="0"/>
        <w:keepLines w:val="0"/>
        <w:widowControl/>
        <w:numPr>
          <w:ilvl w:val="0"/>
          <w:numId w:val="12"/>
        </w:numPr>
        <w:suppressLineNumbers w:val="0"/>
        <w:spacing w:before="105"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100% of women &amp; PWD participants feel more empowered to influence boards</w:t>
      </w:r>
      <w:r>
        <w:rPr>
          <w:rFonts w:hint="default" w:ascii="Goudy Old Style" w:hAnsi="Goudy Old Style" w:eastAsia="sans-serif" w:cs="Goudy Old Style"/>
          <w:color w:val="000000"/>
          <w:sz w:val="24"/>
          <w:szCs w:val="24"/>
          <w:u w:val="none"/>
          <w:lang w:val="en-US"/>
        </w:rPr>
        <w:t>.</w:t>
      </w:r>
    </w:p>
    <w:p w14:paraId="60317AEF">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p w14:paraId="58447830">
      <w:pPr>
        <w:keepNext w:val="0"/>
        <w:keepLines w:val="0"/>
        <w:widowControl/>
        <w:numPr>
          <w:ilvl w:val="0"/>
          <w:numId w:val="3"/>
        </w:numPr>
        <w:suppressLineNumbers w:val="0"/>
        <w:spacing w:before="0" w:beforeAutospacing="0" w:after="0" w:afterAutospacing="0"/>
        <w:ind w:left="425" w:leftChars="0" w:right="0" w:rightChars="0" w:hanging="425" w:firstLineChars="0"/>
        <w:jc w:val="both"/>
        <w:rPr>
          <w:rFonts w:hint="default" w:ascii="Goudy Old Style" w:hAnsi="Goudy Old Style" w:eastAsia="sans-serif" w:cs="Goudy Old Style"/>
          <w:b/>
          <w:bCs/>
          <w:color w:val="000000"/>
          <w:kern w:val="0"/>
          <w:sz w:val="24"/>
          <w:szCs w:val="24"/>
          <w:u w:val="none"/>
          <w:lang w:val="en-US" w:eastAsia="zh-CN" w:bidi="ar"/>
        </w:rPr>
      </w:pPr>
      <w:r>
        <w:rPr>
          <w:rFonts w:hint="default" w:ascii="Goudy Old Style" w:hAnsi="Goudy Old Style" w:eastAsia="sans-serif" w:cs="Goudy Old Style"/>
          <w:b/>
          <w:bCs/>
          <w:color w:val="000000"/>
          <w:kern w:val="0"/>
          <w:sz w:val="24"/>
          <w:szCs w:val="24"/>
          <w:u w:val="none"/>
          <w:lang w:val="en-US" w:eastAsia="zh-CN" w:bidi="ar"/>
        </w:rPr>
        <w:t xml:space="preserve">ANTICIPATED DIGITAL IMPACT: </w:t>
      </w:r>
    </w:p>
    <w:p w14:paraId="228E8F9C">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 xml:space="preserve">YouTube Video ArchiveThe entire training — including all keynote addresses, regulatory deep dives, storytelling workshops, and risk planning sessions — was professionally recorded and is now permanently hosted on FLI’s YouTube channel </w:t>
      </w:r>
      <w:r>
        <w:rPr>
          <w:rFonts w:hint="default" w:ascii="Goudy Old Style" w:hAnsi="Goudy Old Style" w:eastAsia="sans-serif" w:cs="Goudy Old Style"/>
          <w:color w:val="000000"/>
          <w:kern w:val="0"/>
          <w:sz w:val="24"/>
          <w:szCs w:val="24"/>
          <w:u w:val="none"/>
          <w:lang w:val="en-US" w:eastAsia="zh-CN" w:bidi="ar"/>
        </w:rPr>
        <w:fldChar w:fldCharType="begin"/>
      </w:r>
      <w:r>
        <w:rPr>
          <w:rFonts w:hint="default" w:ascii="Goudy Old Style" w:hAnsi="Goudy Old Style" w:eastAsia="sans-serif" w:cs="Goudy Old Style"/>
          <w:color w:val="000000"/>
          <w:kern w:val="0"/>
          <w:sz w:val="24"/>
          <w:szCs w:val="24"/>
          <w:u w:val="none"/>
          <w:lang w:val="en-US" w:eastAsia="zh-CN" w:bidi="ar"/>
        </w:rPr>
        <w:instrText xml:space="preserve"> HYPERLINK "https://youtube.com/@FidelisLeadership" \t "_blank" </w:instrText>
      </w:r>
      <w:r>
        <w:rPr>
          <w:rFonts w:hint="default" w:ascii="Goudy Old Style" w:hAnsi="Goudy Old Style" w:eastAsia="sans-serif" w:cs="Goudy Old Style"/>
          <w:color w:val="000000"/>
          <w:kern w:val="0"/>
          <w:sz w:val="24"/>
          <w:szCs w:val="24"/>
          <w:u w:val="none"/>
          <w:lang w:val="en-US" w:eastAsia="zh-CN" w:bidi="ar"/>
        </w:rPr>
        <w:fldChar w:fldCharType="separate"/>
      </w:r>
      <w:r>
        <w:rPr>
          <w:rStyle w:val="10"/>
          <w:rFonts w:hint="default" w:ascii="Goudy Old Style" w:hAnsi="Goudy Old Style" w:eastAsia="sans-serif" w:cs="Goudy Old Style"/>
          <w:color w:val="000000"/>
          <w:sz w:val="24"/>
          <w:szCs w:val="24"/>
          <w:u w:val="none"/>
        </w:rPr>
        <w:t>youtube.com/@FidelisLeadership</w:t>
      </w:r>
      <w:r>
        <w:rPr>
          <w:rFonts w:hint="default" w:ascii="Goudy Old Style" w:hAnsi="Goudy Old Style" w:eastAsia="sans-serif" w:cs="Goudy Old Style"/>
          <w:color w:val="000000"/>
          <w:kern w:val="0"/>
          <w:sz w:val="24"/>
          <w:szCs w:val="24"/>
          <w:u w:val="none"/>
          <w:lang w:val="en-US" w:eastAsia="zh-CN" w:bidi="ar"/>
        </w:rPr>
        <w:fldChar w:fldCharType="end"/>
      </w:r>
      <w:r>
        <w:rPr>
          <w:rFonts w:hint="default" w:ascii="Goudy Old Style" w:hAnsi="Goudy Old Style" w:eastAsia="sans-serif" w:cs="Goudy Old Style"/>
          <w:color w:val="000000"/>
          <w:kern w:val="0"/>
          <w:sz w:val="24"/>
          <w:szCs w:val="24"/>
          <w:u w:val="none"/>
          <w:lang w:val="en-US" w:eastAsia="zh-CN" w:bidi="ar"/>
        </w:rPr>
        <w:t xml:space="preserve">. </w:t>
      </w:r>
    </w:p>
    <w:p w14:paraId="761B5D2F">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This open-access digital library transforms a two-day event into a perpetual capacity-building platform, with the following anticipated impacts:</w:t>
      </w:r>
    </w:p>
    <w:p w14:paraId="2F53661F">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tbl>
      <w:tblPr>
        <w:tblStyle w:val="6"/>
        <w:tblW w:w="8439" w:type="dxa"/>
        <w:tblInd w:w="15" w:type="dxa"/>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80"/>
        <w:gridCol w:w="7259"/>
      </w:tblGrid>
      <w:tr w14:paraId="7A0CC697">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rPr>
          <w:trHeight w:val="289" w:hRule="atLeast"/>
        </w:trPr>
        <w:tc>
          <w:tcPr>
            <w:tcW w:w="1180" w:type="dxa"/>
            <w:tcBorders>
              <w:top w:val="nil"/>
              <w:left w:val="nil"/>
              <w:bottom w:val="nil"/>
              <w:right w:val="nil"/>
            </w:tcBorders>
            <w:shd w:val="clear" w:color="auto" w:fill="auto"/>
            <w:noWrap/>
            <w:vAlign w:val="center"/>
          </w:tcPr>
          <w:p w14:paraId="5672C2F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b/>
                <w:bCs/>
                <w:color w:val="000000"/>
                <w:sz w:val="22"/>
                <w:szCs w:val="22"/>
                <w14:textFill>
                  <w14:gradFill>
                    <w14:gsLst>
                      <w14:gs w14:pos="100000">
                        <w14:srgbClr w14:val="6264F8"/>
                      </w14:gs>
                      <w14:gs w14:pos="49000">
                        <w14:srgbClr w14:val="B584EC"/>
                      </w14:gs>
                      <w14:gs w14:pos="0">
                        <w14:srgbClr w14:val="EE9AE5"/>
                      </w14:gs>
                    </w14:gsLst>
                    <w14:lin w14:ang="2700000" w14:scaled="1"/>
                  </w14:gradFill>
                </w14:textFill>
              </w:rPr>
            </w:pPr>
            <w:r>
              <w:rPr>
                <w:rFonts w:hint="default" w:ascii="Goudy Old Style" w:hAnsi="Goudy Old Style" w:eastAsia="sans-serif" w:cs="Goudy Old Style"/>
                <w:b/>
                <w:bCs/>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t>Timeline</w:t>
            </w:r>
          </w:p>
        </w:tc>
        <w:tc>
          <w:tcPr>
            <w:tcW w:w="7259" w:type="dxa"/>
            <w:tcBorders>
              <w:top w:val="nil"/>
              <w:left w:val="nil"/>
              <w:bottom w:val="nil"/>
              <w:right w:val="nil"/>
            </w:tcBorders>
            <w:shd w:val="clear" w:color="auto" w:fill="auto"/>
            <w:noWrap/>
            <w:vAlign w:val="center"/>
          </w:tcPr>
          <w:p w14:paraId="0CFE2EB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b/>
                <w:bCs/>
                <w:color w:val="000000"/>
                <w:sz w:val="22"/>
                <w:szCs w:val="22"/>
                <w14:textFill>
                  <w14:gradFill>
                    <w14:gsLst>
                      <w14:gs w14:pos="100000">
                        <w14:srgbClr w14:val="6264F8"/>
                      </w14:gs>
                      <w14:gs w14:pos="49000">
                        <w14:srgbClr w14:val="B584EC"/>
                      </w14:gs>
                      <w14:gs w14:pos="0">
                        <w14:srgbClr w14:val="EE9AE5"/>
                      </w14:gs>
                    </w14:gsLst>
                    <w14:lin w14:ang="2700000" w14:scaled="1"/>
                  </w14:gradFill>
                </w14:textFill>
              </w:rPr>
            </w:pPr>
            <w:r>
              <w:rPr>
                <w:rFonts w:hint="default" w:ascii="Goudy Old Style" w:hAnsi="Goudy Old Style" w:eastAsia="sans-serif" w:cs="Goudy Old Style"/>
                <w:b/>
                <w:bCs/>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t>Projected Reach &amp; Outcomes</w:t>
            </w:r>
          </w:p>
        </w:tc>
      </w:tr>
      <w:tr w14:paraId="14844DCE">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rPr>
          <w:trHeight w:val="548" w:hRule="atLeast"/>
        </w:trPr>
        <w:tc>
          <w:tcPr>
            <w:tcW w:w="1180" w:type="dxa"/>
            <w:tcBorders>
              <w:top w:val="nil"/>
              <w:left w:val="nil"/>
              <w:bottom w:val="nil"/>
              <w:right w:val="nil"/>
            </w:tcBorders>
            <w:shd w:val="clear" w:color="auto" w:fill="auto"/>
            <w:vAlign w:val="center"/>
          </w:tcPr>
          <w:p w14:paraId="7594764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color w:val="000000"/>
                <w:sz w:val="22"/>
                <w:szCs w:val="22"/>
                <w14:textFill>
                  <w14:gradFill>
                    <w14:gsLst>
                      <w14:gs w14:pos="100000">
                        <w14:srgbClr w14:val="6264F8"/>
                      </w14:gs>
                      <w14:gs w14:pos="49000">
                        <w14:srgbClr w14:val="B584EC"/>
                      </w14:gs>
                      <w14:gs w14:pos="0">
                        <w14:srgbClr w14:val="EE9AE5"/>
                      </w14:gs>
                    </w14:gsLst>
                    <w14:lin w14:ang="2700000" w14:scaled="1"/>
                  </w14:gradFill>
                </w14:textFill>
              </w:rPr>
            </w:pPr>
            <w:r>
              <w:rPr>
                <w:rFonts w:hint="default" w:ascii="Goudy Old Style" w:hAnsi="Goudy Old Style" w:eastAsia="sans-serif" w:cs="Goudy Old Style"/>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t>Month 1–3</w:t>
            </w:r>
          </w:p>
        </w:tc>
        <w:tc>
          <w:tcPr>
            <w:tcW w:w="7259" w:type="dxa"/>
            <w:tcBorders>
              <w:top w:val="nil"/>
              <w:left w:val="nil"/>
              <w:bottom w:val="nil"/>
              <w:right w:val="nil"/>
            </w:tcBorders>
            <w:shd w:val="clear" w:color="auto" w:fill="auto"/>
            <w:vAlign w:val="center"/>
          </w:tcPr>
          <w:p w14:paraId="5A2408B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color w:val="000000"/>
                <w:sz w:val="22"/>
                <w:szCs w:val="22"/>
                <w14:textFill>
                  <w14:gradFill>
                    <w14:gsLst>
                      <w14:gs w14:pos="100000">
                        <w14:srgbClr w14:val="6264F8"/>
                      </w14:gs>
                      <w14:gs w14:pos="49000">
                        <w14:srgbClr w14:val="B584EC"/>
                      </w14:gs>
                      <w14:gs w14:pos="0">
                        <w14:srgbClr w14:val="EE9AE5"/>
                      </w14:gs>
                    </w14:gsLst>
                    <w14:lin w14:ang="2700000" w14:scaled="1"/>
                  </w14:gradFill>
                </w14:textFill>
              </w:rPr>
            </w:pPr>
            <w:r>
              <w:rPr>
                <w:rFonts w:hint="default" w:ascii="Goudy Old Style" w:hAnsi="Goudy Old Style" w:eastAsia="sans-serif" w:cs="Goudy Old Style"/>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t>5,000+ views; 500+ new CSO leaders self-train using modules; 50+ organizations adopt templates from video downloads</w:t>
            </w:r>
          </w:p>
        </w:tc>
      </w:tr>
      <w:tr w14:paraId="6ED4B24C">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rPr>
          <w:trHeight w:val="548" w:hRule="atLeast"/>
        </w:trPr>
        <w:tc>
          <w:tcPr>
            <w:tcW w:w="1180" w:type="dxa"/>
            <w:tcBorders>
              <w:top w:val="nil"/>
              <w:left w:val="nil"/>
              <w:bottom w:val="nil"/>
              <w:right w:val="nil"/>
            </w:tcBorders>
            <w:shd w:val="clear" w:color="auto" w:fill="auto"/>
            <w:vAlign w:val="center"/>
          </w:tcPr>
          <w:p w14:paraId="765495A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color w:val="000000"/>
                <w:sz w:val="22"/>
                <w:szCs w:val="22"/>
                <w14:textFill>
                  <w14:gradFill>
                    <w14:gsLst>
                      <w14:gs w14:pos="100000">
                        <w14:srgbClr w14:val="6264F8"/>
                      </w14:gs>
                      <w14:gs w14:pos="49000">
                        <w14:srgbClr w14:val="B584EC"/>
                      </w14:gs>
                      <w14:gs w14:pos="0">
                        <w14:srgbClr w14:val="EE9AE5"/>
                      </w14:gs>
                    </w14:gsLst>
                    <w14:lin w14:ang="2700000" w14:scaled="1"/>
                  </w14:gradFill>
                </w14:textFill>
              </w:rPr>
            </w:pPr>
            <w:r>
              <w:rPr>
                <w:rFonts w:hint="default" w:ascii="Goudy Old Style" w:hAnsi="Goudy Old Style" w:eastAsia="sans-serif" w:cs="Goudy Old Style"/>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t>Month 4–12</w:t>
            </w:r>
          </w:p>
        </w:tc>
        <w:tc>
          <w:tcPr>
            <w:tcW w:w="7259" w:type="dxa"/>
            <w:tcBorders>
              <w:top w:val="nil"/>
              <w:left w:val="nil"/>
              <w:bottom w:val="nil"/>
              <w:right w:val="nil"/>
            </w:tcBorders>
            <w:shd w:val="clear" w:color="auto" w:fill="auto"/>
            <w:vAlign w:val="center"/>
          </w:tcPr>
          <w:p w14:paraId="6989A1F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color w:val="000000"/>
                <w:sz w:val="22"/>
                <w:szCs w:val="22"/>
                <w14:textFill>
                  <w14:gradFill>
                    <w14:gsLst>
                      <w14:gs w14:pos="100000">
                        <w14:srgbClr w14:val="6264F8"/>
                      </w14:gs>
                      <w14:gs w14:pos="49000">
                        <w14:srgbClr w14:val="B584EC"/>
                      </w14:gs>
                      <w14:gs w14:pos="0">
                        <w14:srgbClr w14:val="EE9AE5"/>
                      </w14:gs>
                    </w14:gsLst>
                    <w14:lin w14:ang="2700000" w14:scaled="1"/>
                  </w14:gradFill>
                </w14:textFill>
              </w:rPr>
            </w:pPr>
            <w:r>
              <w:rPr>
                <w:rFonts w:hint="default" w:ascii="Goudy Old Style" w:hAnsi="Goudy Old Style" w:eastAsia="sans-serif" w:cs="Goudy Old Style"/>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t>20,000+ cumulative views; curriculum integration into university CSO courses; replication trainings in 5 regions</w:t>
            </w:r>
          </w:p>
        </w:tc>
      </w:tr>
      <w:tr w14:paraId="20BD9F19">
        <w:tblPrEx>
          <w:tblBorders>
            <w:top w:val="single" w:color="CFD9DE" w:sz="2" w:space="0"/>
            <w:left w:val="single" w:color="CFD9DE" w:sz="2" w:space="0"/>
            <w:bottom w:val="single" w:color="CFD9DE" w:sz="4"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rPr>
          <w:trHeight w:val="548" w:hRule="atLeast"/>
        </w:trPr>
        <w:tc>
          <w:tcPr>
            <w:tcW w:w="1180" w:type="dxa"/>
            <w:tcBorders>
              <w:top w:val="nil"/>
              <w:left w:val="nil"/>
              <w:bottom w:val="nil"/>
              <w:right w:val="nil"/>
            </w:tcBorders>
            <w:shd w:val="clear" w:color="auto" w:fill="auto"/>
            <w:vAlign w:val="center"/>
          </w:tcPr>
          <w:p w14:paraId="37C23FF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color w:val="000000"/>
                <w:sz w:val="22"/>
                <w:szCs w:val="22"/>
                <w14:textFill>
                  <w14:gradFill>
                    <w14:gsLst>
                      <w14:gs w14:pos="100000">
                        <w14:srgbClr w14:val="6264F8"/>
                      </w14:gs>
                      <w14:gs w14:pos="49000">
                        <w14:srgbClr w14:val="B584EC"/>
                      </w14:gs>
                      <w14:gs w14:pos="0">
                        <w14:srgbClr w14:val="EE9AE5"/>
                      </w14:gs>
                    </w14:gsLst>
                    <w14:lin w14:ang="2700000" w14:scaled="1"/>
                  </w14:gradFill>
                </w14:textFill>
              </w:rPr>
            </w:pPr>
            <w:r>
              <w:rPr>
                <w:rFonts w:hint="default" w:ascii="Goudy Old Style" w:hAnsi="Goudy Old Style" w:eastAsia="sans-serif" w:cs="Goudy Old Style"/>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t>Year 2–5</w:t>
            </w:r>
          </w:p>
        </w:tc>
        <w:tc>
          <w:tcPr>
            <w:tcW w:w="7259" w:type="dxa"/>
            <w:tcBorders>
              <w:top w:val="nil"/>
              <w:left w:val="nil"/>
              <w:bottom w:val="nil"/>
              <w:right w:val="nil"/>
            </w:tcBorders>
            <w:shd w:val="clear" w:color="auto" w:fill="auto"/>
            <w:vAlign w:val="center"/>
          </w:tcPr>
          <w:p w14:paraId="7DBEC4E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color w:val="000000"/>
                <w:sz w:val="22"/>
                <w:szCs w:val="22"/>
                <w14:textFill>
                  <w14:gradFill>
                    <w14:gsLst>
                      <w14:gs w14:pos="100000">
                        <w14:srgbClr w14:val="6264F8"/>
                      </w14:gs>
                      <w14:gs w14:pos="49000">
                        <w14:srgbClr w14:val="B584EC"/>
                      </w14:gs>
                      <w14:gs w14:pos="0">
                        <w14:srgbClr w14:val="EE9AE5"/>
                      </w14:gs>
                    </w14:gsLst>
                    <w14:lin w14:ang="2700000" w14:scaled="1"/>
                  </w14:gradFill>
                </w14:textFill>
              </w:rPr>
            </w:pPr>
            <w:r>
              <w:rPr>
                <w:rFonts w:hint="default" w:ascii="Goudy Old Style" w:hAnsi="Goudy Old Style" w:eastAsia="sans-serif" w:cs="Goudy Old Style"/>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t>100,000+ views; national policy influence via shared content; standard reference for NGO Bureau &amp; URSB training programs</w:t>
            </w:r>
          </w:p>
        </w:tc>
      </w:tr>
      <w:tr w14:paraId="12C983C0">
        <w:tblPrEx>
          <w:tblBorders>
            <w:top w:val="single" w:color="CFD9DE" w:sz="2" w:space="0"/>
            <w:left w:val="single" w:color="CFD9DE" w:sz="2" w:space="0"/>
            <w:bottom w:val="single" w:color="CFD9DE" w:sz="2"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rPr>
          <w:trHeight w:val="548" w:hRule="atLeast"/>
        </w:trPr>
        <w:tc>
          <w:tcPr>
            <w:tcW w:w="1180" w:type="dxa"/>
            <w:tcBorders>
              <w:top w:val="nil"/>
              <w:left w:val="nil"/>
              <w:bottom w:val="nil"/>
              <w:right w:val="nil"/>
            </w:tcBorders>
            <w:shd w:val="clear" w:color="auto" w:fill="auto"/>
            <w:vAlign w:val="center"/>
          </w:tcPr>
          <w:p w14:paraId="3E7050E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color w:val="000000"/>
                <w:sz w:val="22"/>
                <w:szCs w:val="22"/>
                <w14:textFill>
                  <w14:gradFill>
                    <w14:gsLst>
                      <w14:gs w14:pos="100000">
                        <w14:srgbClr w14:val="6264F8"/>
                      </w14:gs>
                      <w14:gs w14:pos="49000">
                        <w14:srgbClr w14:val="B584EC"/>
                      </w14:gs>
                      <w14:gs w14:pos="0">
                        <w14:srgbClr w14:val="EE9AE5"/>
                      </w14:gs>
                    </w14:gsLst>
                    <w14:lin w14:ang="2700000" w14:scaled="1"/>
                  </w14:gradFill>
                </w14:textFill>
              </w:rPr>
            </w:pPr>
            <w:r>
              <w:rPr>
                <w:rFonts w:hint="default" w:ascii="Goudy Old Style" w:hAnsi="Goudy Old Style" w:eastAsia="sans-serif" w:cs="Goudy Old Style"/>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t>Ongoing</w:t>
            </w:r>
          </w:p>
        </w:tc>
        <w:tc>
          <w:tcPr>
            <w:tcW w:w="7259" w:type="dxa"/>
            <w:tcBorders>
              <w:top w:val="nil"/>
              <w:left w:val="nil"/>
              <w:bottom w:val="nil"/>
              <w:right w:val="nil"/>
            </w:tcBorders>
            <w:shd w:val="clear" w:color="auto" w:fill="auto"/>
            <w:vAlign w:val="center"/>
          </w:tcPr>
          <w:p w14:paraId="36631BB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color w:val="000000"/>
                <w:sz w:val="22"/>
                <w:szCs w:val="22"/>
                <w14:textFill>
                  <w14:gradFill>
                    <w14:gsLst>
                      <w14:gs w14:pos="100000">
                        <w14:srgbClr w14:val="6264F8"/>
                      </w14:gs>
                      <w14:gs w14:pos="49000">
                        <w14:srgbClr w14:val="B584EC"/>
                      </w14:gs>
                      <w14:gs w14:pos="0">
                        <w14:srgbClr w14:val="EE9AE5"/>
                      </w14:gs>
                    </w14:gsLst>
                    <w14:lin w14:ang="2700000" w14:scaled="1"/>
                  </w14:gradFill>
                </w14:textFill>
              </w:rPr>
            </w:pPr>
            <w:r>
              <w:rPr>
                <w:rFonts w:hint="default" w:ascii="Goudy Old Style" w:hAnsi="Goudy Old Style" w:eastAsia="sans-serif" w:cs="Goudy Old Style"/>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t>Global accessibility for diaspora CSOs; translated subtitles (Runyankole, Luganda, Swahili) added in 2026</w:t>
            </w:r>
          </w:p>
        </w:tc>
      </w:tr>
      <w:tr w14:paraId="35018109">
        <w:tblPrEx>
          <w:tblBorders>
            <w:top w:val="single" w:color="CFD9DE" w:sz="2" w:space="0"/>
            <w:left w:val="single" w:color="CFD9DE" w:sz="2" w:space="0"/>
            <w:bottom w:val="single" w:color="CFD9DE" w:sz="2" w:space="0"/>
            <w:right w:val="single" w:color="CFD9DE" w:sz="2" w:space="0"/>
            <w:insideH w:val="none" w:color="auto" w:sz="0" w:space="0"/>
            <w:insideV w:val="none" w:color="auto" w:sz="0" w:space="0"/>
          </w:tblBorders>
          <w:shd w:val="clear" w:color="auto" w:fill="auto"/>
          <w:tblCellMar>
            <w:top w:w="15" w:type="dxa"/>
            <w:left w:w="15" w:type="dxa"/>
            <w:bottom w:w="15" w:type="dxa"/>
            <w:right w:w="15" w:type="dxa"/>
          </w:tblCellMar>
        </w:tblPrEx>
        <w:trPr>
          <w:trHeight w:val="548" w:hRule="atLeast"/>
        </w:trPr>
        <w:tc>
          <w:tcPr>
            <w:tcW w:w="1180" w:type="dxa"/>
            <w:tcBorders>
              <w:top w:val="nil"/>
              <w:left w:val="nil"/>
              <w:bottom w:val="nil"/>
              <w:right w:val="nil"/>
            </w:tcBorders>
            <w:shd w:val="clear" w:color="auto" w:fill="auto"/>
            <w:vAlign w:val="center"/>
          </w:tcPr>
          <w:p w14:paraId="34CEA83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pPr>
          </w:p>
        </w:tc>
        <w:tc>
          <w:tcPr>
            <w:tcW w:w="7259" w:type="dxa"/>
            <w:tcBorders>
              <w:top w:val="nil"/>
              <w:left w:val="nil"/>
              <w:bottom w:val="nil"/>
              <w:right w:val="nil"/>
            </w:tcBorders>
            <w:shd w:val="clear" w:color="auto" w:fill="auto"/>
            <w:vAlign w:val="center"/>
          </w:tcPr>
          <w:p w14:paraId="2DC84E1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bidi w:val="0"/>
              <w:ind w:leftChars="0"/>
              <w:jc w:val="both"/>
              <w:rPr>
                <w:rFonts w:hint="default" w:ascii="Goudy Old Style" w:hAnsi="Goudy Old Style" w:eastAsia="sans-serif" w:cs="Goudy Old Style"/>
                <w:color w:val="000000"/>
                <w:kern w:val="0"/>
                <w:sz w:val="22"/>
                <w:szCs w:val="22"/>
                <w:lang w:val="en-US" w:eastAsia="zh-CN" w:bidi="ar"/>
                <w14:textFill>
                  <w14:gradFill>
                    <w14:gsLst>
                      <w14:gs w14:pos="100000">
                        <w14:srgbClr w14:val="6264F8"/>
                      </w14:gs>
                      <w14:gs w14:pos="49000">
                        <w14:srgbClr w14:val="B584EC"/>
                      </w14:gs>
                      <w14:gs w14:pos="0">
                        <w14:srgbClr w14:val="EE9AE5"/>
                      </w14:gs>
                    </w14:gsLst>
                    <w14:lin w14:ang="2700000" w14:scaled="1"/>
                  </w14:gradFill>
                </w14:textFill>
              </w:rPr>
            </w:pPr>
          </w:p>
        </w:tc>
      </w:tr>
    </w:tbl>
    <w:p w14:paraId="14466D6B">
      <w:pPr>
        <w:keepNext w:val="0"/>
        <w:keepLines w:val="0"/>
        <w:widowControl/>
        <w:numPr>
          <w:ilvl w:val="0"/>
          <w:numId w:val="3"/>
        </w:numPr>
        <w:suppressLineNumbers w:val="0"/>
        <w:pBdr>
          <w:top w:val="single" w:color="000000" w:sz="2" w:space="0"/>
          <w:left w:val="single" w:color="000000" w:sz="2" w:space="0"/>
          <w:bottom w:val="single" w:color="000000" w:sz="2" w:space="0"/>
          <w:right w:val="single" w:color="000000" w:sz="2" w:space="0"/>
        </w:pBdr>
        <w:bidi w:val="0"/>
        <w:spacing w:before="0" w:beforeAutospacing="0" w:after="0" w:afterAutospacing="0"/>
        <w:ind w:left="425" w:leftChars="0" w:right="0" w:rightChars="0" w:hanging="425" w:firstLineChars="0"/>
        <w:jc w:val="both"/>
        <w:rPr>
          <w:rFonts w:hint="default" w:ascii="Goudy Old Style" w:hAnsi="Goudy Old Style" w:eastAsia="sans-serif" w:cs="Goudy Old Style"/>
          <w:b/>
          <w:bCs/>
          <w:color w:val="000000"/>
          <w:sz w:val="24"/>
          <w:szCs w:val="24"/>
          <w:u w:val="none"/>
        </w:rPr>
      </w:pPr>
      <w:r>
        <w:rPr>
          <w:rFonts w:hint="default" w:ascii="Goudy Old Style" w:hAnsi="Goudy Old Style" w:eastAsia="sans-serif" w:cs="Goudy Old Style"/>
          <w:b/>
          <w:bCs/>
          <w:color w:val="000000"/>
          <w:kern w:val="0"/>
          <w:sz w:val="24"/>
          <w:szCs w:val="24"/>
          <w:u w:val="none"/>
          <w:lang w:val="en-US" w:eastAsia="zh-CN" w:bidi="ar"/>
        </w:rPr>
        <w:t xml:space="preserve">Early Digital Indicators (as of 31 Oct 2025): </w:t>
      </w:r>
    </w:p>
    <w:p w14:paraId="52A8F866">
      <w:pPr>
        <w:keepNext w:val="0"/>
        <w:keepLines w:val="0"/>
        <w:widowControl/>
        <w:numPr>
          <w:ilvl w:val="0"/>
          <w:numId w:val="13"/>
        </w:numPr>
        <w:suppressLineNumbers w:val="0"/>
        <w:tabs>
          <w:tab w:val="clear" w:pos="425"/>
        </w:tabs>
        <w:spacing w:before="0" w:beforeAutospacing="0" w:after="0" w:afterAutospacing="0"/>
        <w:ind w:left="425" w:leftChars="0" w:right="0" w:rightChars="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 xml:space="preserve">1,200 views in first 48 hours </w:t>
      </w:r>
    </w:p>
    <w:p w14:paraId="6255CEB9">
      <w:pPr>
        <w:keepNext w:val="0"/>
        <w:keepLines w:val="0"/>
        <w:widowControl/>
        <w:numPr>
          <w:ilvl w:val="0"/>
          <w:numId w:val="13"/>
        </w:numPr>
        <w:suppressLineNumbers w:val="0"/>
        <w:tabs>
          <w:tab w:val="clear" w:pos="425"/>
        </w:tabs>
        <w:spacing w:before="105" w:beforeAutospacing="0" w:after="0" w:afterAutospacing="0"/>
        <w:ind w:left="425" w:leftChars="0" w:right="0" w:rightChars="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 xml:space="preserve">Top watched: “URSB Compliance for CSOs” (42% of traffic) </w:t>
      </w:r>
    </w:p>
    <w:p w14:paraId="6A5C71AB">
      <w:pPr>
        <w:keepNext w:val="0"/>
        <w:keepLines w:val="0"/>
        <w:widowControl/>
        <w:numPr>
          <w:ilvl w:val="0"/>
          <w:numId w:val="13"/>
        </w:numPr>
        <w:suppressLineNumbers w:val="0"/>
        <w:tabs>
          <w:tab w:val="clear" w:pos="425"/>
        </w:tabs>
        <w:spacing w:before="105" w:beforeAutospacing="0" w:after="0" w:afterAutospacing="0"/>
        <w:ind w:left="425" w:leftChars="0" w:right="0" w:rightChars="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Most shared: “Storytelling with STAR Method” (viral among youth NGOs)</w:t>
      </w:r>
    </w:p>
    <w:p w14:paraId="56A1D214">
      <w:pPr>
        <w:keepNext w:val="0"/>
        <w:keepLines w:val="0"/>
        <w:widowControl/>
        <w:numPr>
          <w:ilvl w:val="0"/>
          <w:numId w:val="0"/>
        </w:numPr>
        <w:suppressLineNumbers w:val="0"/>
        <w:spacing w:before="105" w:beforeAutospacing="0" w:after="0" w:afterAutospacing="0"/>
        <w:ind w:left="360" w:leftChars="0" w:right="0" w:rightChars="0"/>
        <w:jc w:val="both"/>
        <w:rPr>
          <w:rFonts w:hint="default" w:ascii="Goudy Old Style" w:hAnsi="Goudy Old Style" w:eastAsia="sans-serif" w:cs="Goudy Old Style"/>
          <w:color w:val="000000"/>
          <w:sz w:val="24"/>
          <w:szCs w:val="24"/>
        </w:rPr>
      </w:pPr>
    </w:p>
    <w:p w14:paraId="370A1B2B">
      <w:pPr>
        <w:keepNext w:val="0"/>
        <w:keepLines w:val="0"/>
        <w:widowControl/>
        <w:numPr>
          <w:ilvl w:val="0"/>
          <w:numId w:val="13"/>
        </w:numPr>
        <w:suppressLineNumbers w:val="0"/>
        <w:tabs>
          <w:tab w:val="clear" w:pos="425"/>
        </w:tabs>
        <w:spacing w:before="0" w:beforeAutospacing="0" w:after="0" w:afterAutospacing="0"/>
        <w:ind w:left="425" w:leftChars="0" w:right="0" w:rightChars="0" w:hanging="425" w:firstLineChars="0"/>
        <w:jc w:val="both"/>
        <w:rPr>
          <w:rFonts w:hint="default" w:ascii="Goudy Old Style" w:hAnsi="Goudy Old Style" w:cs="Goudy Old Style"/>
          <w:sz w:val="24"/>
          <w:szCs w:val="24"/>
        </w:rPr>
      </w:pPr>
      <w:r>
        <w:rPr>
          <w:rFonts w:hint="default" w:ascii="Goudy Old Style" w:hAnsi="Goudy Old Style" w:eastAsia="sans-serif" w:cs="Goudy Old Style"/>
          <w:color w:val="000000"/>
          <w:kern w:val="0"/>
          <w:sz w:val="24"/>
          <w:szCs w:val="24"/>
          <w:u w:val="none"/>
          <w:lang w:val="en-US" w:eastAsia="zh-CN" w:bidi="ar"/>
        </w:rPr>
        <w:t xml:space="preserve">This YouTube archive ensures that every lesson, template, and insight remains freely available, searchable, and shareable — turning a one-time event into a living movement for ethical governance. </w:t>
      </w:r>
    </w:p>
    <w:p w14:paraId="4D096C3E">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p w14:paraId="1E95E6FF">
      <w:pPr>
        <w:keepNext w:val="0"/>
        <w:keepLines w:val="0"/>
        <w:widowControl/>
        <w:numPr>
          <w:ilvl w:val="0"/>
          <w:numId w:val="1"/>
        </w:numPr>
        <w:suppressLineNumbers w:val="0"/>
        <w:spacing w:before="0" w:beforeAutospacing="0" w:after="0" w:afterAutospacing="0"/>
        <w:ind w:left="425" w:leftChars="0" w:right="0" w:hanging="425" w:firstLineChars="0"/>
        <w:jc w:val="both"/>
        <w:rPr>
          <w:rFonts w:hint="default" w:ascii="Goudy Old Style" w:hAnsi="Goudy Old Style" w:cs="Goudy Old Style"/>
          <w:b/>
          <w:bCs/>
          <w:sz w:val="24"/>
          <w:szCs w:val="24"/>
        </w:rPr>
      </w:pPr>
      <w:r>
        <w:rPr>
          <w:rFonts w:hint="default" w:ascii="Goudy Old Style" w:hAnsi="Goudy Old Style" w:eastAsia="sans-serif" w:cs="Goudy Old Style"/>
          <w:b/>
          <w:bCs/>
          <w:color w:val="000000"/>
          <w:kern w:val="0"/>
          <w:sz w:val="24"/>
          <w:szCs w:val="24"/>
          <w:u w:val="none"/>
          <w:lang w:val="en-US" w:eastAsia="zh-CN" w:bidi="ar"/>
        </w:rPr>
        <w:t>PARTICIPANT REFLECTIONS &amp; FEEDBACK</w:t>
      </w:r>
    </w:p>
    <w:p w14:paraId="14EAE2A3">
      <w:pPr>
        <w:pStyle w:val="11"/>
        <w:numPr>
          <w:ilvl w:val="0"/>
          <w:numId w:val="14"/>
        </w:numPr>
        <w:ind w:left="425" w:leftChars="0" w:hanging="425" w:firstLineChars="0"/>
        <w:rPr>
          <w:rFonts w:ascii="Goudy Old Style" w:hAnsi="Goudy Old Style"/>
        </w:rPr>
      </w:pPr>
      <w:r>
        <w:rPr>
          <w:rFonts w:ascii="Goudy Old Style" w:hAnsi="Goudy Old Style"/>
        </w:rPr>
        <w:t xml:space="preserve">Participants described the training as </w:t>
      </w:r>
      <w:r>
        <w:rPr>
          <w:rStyle w:val="7"/>
          <w:rFonts w:ascii="Goudy Old Style" w:hAnsi="Goudy Old Style"/>
        </w:rPr>
        <w:t>“a leadership awakening”</w:t>
      </w:r>
      <w:r>
        <w:rPr>
          <w:rFonts w:ascii="Goudy Old Style" w:hAnsi="Goudy Old Style"/>
        </w:rPr>
        <w:t xml:space="preserve"> and </w:t>
      </w:r>
      <w:r>
        <w:rPr>
          <w:rStyle w:val="7"/>
          <w:rFonts w:ascii="Goudy Old Style" w:hAnsi="Goudy Old Style"/>
        </w:rPr>
        <w:t>“a much-needed space for honest reflection and growth.”</w:t>
      </w:r>
      <w:r>
        <w:rPr>
          <w:rFonts w:ascii="Goudy Old Style" w:hAnsi="Goudy Old Style"/>
        </w:rPr>
        <w:t xml:space="preserve"> They expressed gratitude to </w:t>
      </w:r>
      <w:r>
        <w:rPr>
          <w:rStyle w:val="12"/>
          <w:rFonts w:ascii="Goudy Old Style" w:hAnsi="Goudy Old Style"/>
        </w:rPr>
        <w:t>FLI</w:t>
      </w:r>
      <w:r>
        <w:rPr>
          <w:rFonts w:ascii="Goudy Old Style" w:hAnsi="Goudy Old Style"/>
        </w:rPr>
        <w:t xml:space="preserve"> and </w:t>
      </w:r>
      <w:r>
        <w:rPr>
          <w:rStyle w:val="12"/>
          <w:rFonts w:ascii="Goudy Old Style" w:hAnsi="Goudy Old Style"/>
        </w:rPr>
        <w:t>ADA</w:t>
      </w:r>
      <w:r>
        <w:rPr>
          <w:rFonts w:ascii="Goudy Old Style" w:hAnsi="Goudy Old Style"/>
        </w:rPr>
        <w:t xml:space="preserve"> for creating an environment that combined practical learning with ethical inspiration.</w:t>
      </w:r>
    </w:p>
    <w:p w14:paraId="4DEA80CF">
      <w:pPr>
        <w:pStyle w:val="11"/>
        <w:numPr>
          <w:ilvl w:val="0"/>
          <w:numId w:val="14"/>
        </w:numPr>
        <w:ind w:left="425" w:leftChars="0" w:hanging="425" w:firstLineChars="0"/>
        <w:rPr>
          <w:rFonts w:ascii="Goudy Old Style" w:hAnsi="Goudy Old Style"/>
        </w:rPr>
      </w:pPr>
      <w:r>
        <w:rPr>
          <w:rFonts w:ascii="Goudy Old Style" w:hAnsi="Goudy Old Style"/>
        </w:rPr>
        <w:t>“The training has been of great impact to me and my organization. We had been struggling with conflicts between the Board and the CEO, but after the governance session, I have learnt so much. Thank you for your unwavering support towards CSOs.”</w:t>
      </w:r>
      <w:r>
        <w:rPr>
          <w:rFonts w:ascii="Goudy Old Style" w:hAnsi="Goudy Old Style"/>
        </w:rPr>
        <w:br w:type="textWrapping"/>
      </w:r>
      <w:r>
        <w:rPr>
          <w:rFonts w:ascii="Goudy Old Style" w:hAnsi="Goudy Old Style"/>
        </w:rPr>
        <w:t xml:space="preserve">— </w:t>
      </w:r>
      <w:r>
        <w:rPr>
          <w:rStyle w:val="7"/>
          <w:rFonts w:ascii="Goudy Old Style" w:hAnsi="Goudy Old Style"/>
        </w:rPr>
        <w:t>Takan Emmanuel, Director &amp; Co-Founder, Riziki Youth Umbrella Ltd.</w:t>
      </w:r>
    </w:p>
    <w:p w14:paraId="385C749E">
      <w:pPr>
        <w:pStyle w:val="11"/>
        <w:numPr>
          <w:ilvl w:val="0"/>
          <w:numId w:val="14"/>
        </w:numPr>
        <w:ind w:left="425" w:leftChars="0" w:hanging="425" w:firstLineChars="0"/>
        <w:rPr>
          <w:rFonts w:ascii="Goudy Old Style" w:hAnsi="Goudy Old Style"/>
        </w:rPr>
      </w:pPr>
      <w:r>
        <w:rPr>
          <w:rFonts w:ascii="Goudy Old Style" w:hAnsi="Goudy Old Style"/>
        </w:rPr>
        <w:t>“This wasn’t just another training—it was a values-driven leadership awakening. Ethical leadership, governance, and storytelling came alive.”</w:t>
      </w:r>
      <w:r>
        <w:rPr>
          <w:rFonts w:ascii="Goudy Old Style" w:hAnsi="Goudy Old Style"/>
        </w:rPr>
        <w:br w:type="textWrapping"/>
      </w:r>
      <w:r>
        <w:rPr>
          <w:rFonts w:ascii="Goudy Old Style" w:hAnsi="Goudy Old Style"/>
        </w:rPr>
        <w:t xml:space="preserve">— </w:t>
      </w:r>
      <w:r>
        <w:rPr>
          <w:rStyle w:val="7"/>
          <w:rFonts w:ascii="Goudy Old Style" w:hAnsi="Goudy Old Style"/>
        </w:rPr>
        <w:t>Musisi Alipio, Participant</w:t>
      </w:r>
    </w:p>
    <w:p w14:paraId="4DF2AF0F">
      <w:pPr>
        <w:pStyle w:val="11"/>
        <w:numPr>
          <w:ilvl w:val="0"/>
          <w:numId w:val="14"/>
        </w:numPr>
        <w:ind w:left="425" w:leftChars="0" w:hanging="425" w:firstLineChars="0"/>
        <w:rPr>
          <w:rFonts w:ascii="Goudy Old Style" w:hAnsi="Goudy Old Style"/>
        </w:rPr>
      </w:pPr>
      <w:r>
        <w:rPr>
          <w:rFonts w:ascii="Goudy Old Style" w:hAnsi="Goudy Old Style"/>
        </w:rPr>
        <w:t>“We are delighted to be part of this Governance &amp; Accountability training delivered by Fidelis Leadership Institute in partnership with ADA. It was practical, inspiring, and timely.”</w:t>
      </w:r>
      <w:r>
        <w:rPr>
          <w:rFonts w:ascii="Goudy Old Style" w:hAnsi="Goudy Old Style"/>
        </w:rPr>
        <w:br w:type="textWrapping"/>
      </w:r>
      <w:r>
        <w:rPr>
          <w:rFonts w:ascii="Goudy Old Style" w:hAnsi="Goudy Old Style"/>
        </w:rPr>
        <w:t xml:space="preserve">— </w:t>
      </w:r>
      <w:r>
        <w:rPr>
          <w:rStyle w:val="7"/>
          <w:rFonts w:ascii="Goudy Old Style" w:hAnsi="Goudy Old Style"/>
        </w:rPr>
        <w:t>VIDEA Uganda Team</w:t>
      </w:r>
    </w:p>
    <w:p w14:paraId="7232AE3C">
      <w:pPr>
        <w:pStyle w:val="11"/>
        <w:numPr>
          <w:ilvl w:val="0"/>
          <w:numId w:val="14"/>
        </w:numPr>
        <w:ind w:left="425" w:leftChars="0" w:hanging="425" w:firstLineChars="0"/>
        <w:rPr>
          <w:rFonts w:ascii="Goudy Old Style" w:hAnsi="Goudy Old Style"/>
        </w:rPr>
      </w:pPr>
      <w:r>
        <w:rPr>
          <w:rFonts w:ascii="Goudy Old Style" w:hAnsi="Goudy Old Style"/>
        </w:rPr>
        <w:t>“I was privileged to be part of the Executive Leadership Training on Governance and Accountability. Together we can achieve more.”</w:t>
      </w:r>
      <w:r>
        <w:rPr>
          <w:rFonts w:ascii="Goudy Old Style" w:hAnsi="Goudy Old Style"/>
        </w:rPr>
        <w:br w:type="textWrapping"/>
      </w:r>
      <w:r>
        <w:rPr>
          <w:rFonts w:ascii="Goudy Old Style" w:hAnsi="Goudy Old Style"/>
        </w:rPr>
        <w:t xml:space="preserve">— </w:t>
      </w:r>
      <w:r>
        <w:rPr>
          <w:rStyle w:val="7"/>
          <w:rFonts w:ascii="Goudy Old Style" w:hAnsi="Goudy Old Style"/>
        </w:rPr>
        <w:t>Shakirah Princess, Executive Director, Elle Women</w:t>
      </w:r>
    </w:p>
    <w:p w14:paraId="25569219">
      <w:pPr>
        <w:keepNext w:val="0"/>
        <w:keepLines w:val="0"/>
        <w:widowControl/>
        <w:numPr>
          <w:ilvl w:val="0"/>
          <w:numId w:val="1"/>
        </w:numPr>
        <w:suppressLineNumbers w:val="0"/>
        <w:spacing w:before="0" w:beforeAutospacing="0" w:after="0" w:afterAutospacing="0"/>
        <w:ind w:left="425" w:leftChars="0" w:right="0" w:hanging="425" w:firstLineChars="0"/>
        <w:jc w:val="both"/>
        <w:rPr>
          <w:rFonts w:hint="default" w:ascii="Goudy Old Style" w:hAnsi="Goudy Old Style" w:cs="Goudy Old Style"/>
          <w:sz w:val="24"/>
          <w:szCs w:val="24"/>
        </w:rPr>
      </w:pPr>
      <w:r>
        <w:rPr>
          <w:rFonts w:hint="default" w:ascii="Goudy Old Style" w:hAnsi="Goudy Old Style" w:eastAsia="sans-serif" w:cs="Goudy Old Style"/>
          <w:color w:val="000000"/>
          <w:kern w:val="0"/>
          <w:sz w:val="24"/>
          <w:szCs w:val="24"/>
          <w:u w:val="none"/>
          <w:lang w:val="en-US" w:eastAsia="zh-CN" w:bidi="ar"/>
        </w:rPr>
        <w:t>LESSONS LEARNED</w:t>
      </w:r>
    </w:p>
    <w:p w14:paraId="2D9ED2B6">
      <w:pPr>
        <w:keepNext w:val="0"/>
        <w:keepLines w:val="0"/>
        <w:widowControl/>
        <w:numPr>
          <w:ilvl w:val="0"/>
          <w:numId w:val="15"/>
        </w:numPr>
        <w:suppressLineNumbers w:val="0"/>
        <w:spacing w:before="0"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 xml:space="preserve">Compliance is a gateway, not a burden — it unlocks credibility </w:t>
      </w:r>
    </w:p>
    <w:p w14:paraId="52A57148">
      <w:pPr>
        <w:keepNext w:val="0"/>
        <w:keepLines w:val="0"/>
        <w:widowControl/>
        <w:numPr>
          <w:ilvl w:val="0"/>
          <w:numId w:val="15"/>
        </w:numPr>
        <w:suppressLineNumbers w:val="0"/>
        <w:spacing w:before="105"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 xml:space="preserve">Role clarity ends conflict — MoUs are now standard </w:t>
      </w:r>
    </w:p>
    <w:p w14:paraId="3C333758">
      <w:pPr>
        <w:keepNext w:val="0"/>
        <w:keepLines w:val="0"/>
        <w:widowControl/>
        <w:numPr>
          <w:ilvl w:val="0"/>
          <w:numId w:val="15"/>
        </w:numPr>
        <w:suppressLineNumbers w:val="0"/>
        <w:spacing w:before="105"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 xml:space="preserve">Stories &gt; statistics — emotional narratives move hearts </w:t>
      </w:r>
    </w:p>
    <w:p w14:paraId="0DF01FE4">
      <w:pPr>
        <w:keepNext w:val="0"/>
        <w:keepLines w:val="0"/>
        <w:widowControl/>
        <w:numPr>
          <w:ilvl w:val="0"/>
          <w:numId w:val="15"/>
        </w:numPr>
        <w:suppressLineNumbers w:val="0"/>
        <w:spacing w:before="105"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 xml:space="preserve">Inclusion is governance — gender and disability lenses strengthen accountability </w:t>
      </w:r>
    </w:p>
    <w:p w14:paraId="1278553D">
      <w:pPr>
        <w:keepNext w:val="0"/>
        <w:keepLines w:val="0"/>
        <w:widowControl/>
        <w:numPr>
          <w:ilvl w:val="0"/>
          <w:numId w:val="15"/>
        </w:numPr>
        <w:suppressLineNumbers w:val="0"/>
        <w:spacing w:before="105"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u w:val="none"/>
        </w:rPr>
        <w:t>Digital permanence = infinite impact — YouTube turns training into a movement</w:t>
      </w:r>
    </w:p>
    <w:p w14:paraId="0840284C">
      <w:pPr>
        <w:keepNext w:val="0"/>
        <w:keepLines w:val="0"/>
        <w:widowControl/>
        <w:numPr>
          <w:ilvl w:val="0"/>
          <w:numId w:val="15"/>
        </w:numPr>
        <w:suppressLineNumbers w:val="0"/>
        <w:spacing w:before="105"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rPr>
        <w:t>Ethical leadership is essential: Sustainable governance begins with values.</w:t>
      </w:r>
    </w:p>
    <w:p w14:paraId="22210130">
      <w:pPr>
        <w:keepNext w:val="0"/>
        <w:keepLines w:val="0"/>
        <w:widowControl/>
        <w:numPr>
          <w:ilvl w:val="0"/>
          <w:numId w:val="15"/>
        </w:numPr>
        <w:suppressLineNumbers w:val="0"/>
        <w:spacing w:before="105"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rPr>
        <w:t>Governance goes beyond compliance: It builds trust and long-term institutional credibility.</w:t>
      </w:r>
    </w:p>
    <w:p w14:paraId="43680919">
      <w:pPr>
        <w:keepNext w:val="0"/>
        <w:keepLines w:val="0"/>
        <w:widowControl/>
        <w:numPr>
          <w:ilvl w:val="0"/>
          <w:numId w:val="15"/>
        </w:numPr>
        <w:suppressLineNumbers w:val="0"/>
        <w:spacing w:before="105"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rPr>
        <w:t>Storytelling amplifies advocacy: Emotional and relatable narratives connect communities to causes.</w:t>
      </w:r>
    </w:p>
    <w:p w14:paraId="6247DC88">
      <w:pPr>
        <w:keepNext w:val="0"/>
        <w:keepLines w:val="0"/>
        <w:widowControl/>
        <w:numPr>
          <w:ilvl w:val="0"/>
          <w:numId w:val="15"/>
        </w:numPr>
        <w:suppressLineNumbers w:val="0"/>
        <w:spacing w:before="105" w:beforeAutospacing="0" w:after="0" w:afterAutospacing="0"/>
        <w:ind w:left="425" w:leftChars="0" w:right="0" w:hanging="425" w:firstLineChars="0"/>
        <w:jc w:val="both"/>
        <w:rPr>
          <w:rFonts w:hint="default" w:ascii="Goudy Old Style" w:hAnsi="Goudy Old Style" w:eastAsia="sans-serif" w:cs="Goudy Old Style"/>
          <w:color w:val="000000"/>
          <w:sz w:val="24"/>
          <w:szCs w:val="24"/>
        </w:rPr>
      </w:pPr>
      <w:r>
        <w:rPr>
          <w:rFonts w:hint="default" w:ascii="Goudy Old Style" w:hAnsi="Goudy Old Style" w:eastAsia="sans-serif" w:cs="Goudy Old Style"/>
          <w:color w:val="000000"/>
          <w:sz w:val="24"/>
          <w:szCs w:val="24"/>
        </w:rPr>
        <w:t>Collaboration strengthens resilience: Peer learning and shared experiences foster sector-wide</w:t>
      </w:r>
    </w:p>
    <w:p w14:paraId="2B96AD86">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color w:val="000000"/>
          <w:kern w:val="0"/>
          <w:sz w:val="24"/>
          <w:szCs w:val="24"/>
          <w:u w:val="none"/>
          <w:lang w:val="en-US" w:eastAsia="zh-CN" w:bidi="ar"/>
        </w:rPr>
      </w:pPr>
    </w:p>
    <w:p w14:paraId="151C3BF0">
      <w:pPr>
        <w:keepNext w:val="0"/>
        <w:keepLines w:val="0"/>
        <w:widowControl/>
        <w:numPr>
          <w:ilvl w:val="0"/>
          <w:numId w:val="1"/>
        </w:numPr>
        <w:suppressLineNumbers w:val="0"/>
        <w:spacing w:before="0" w:beforeAutospacing="0" w:after="0" w:afterAutospacing="0"/>
        <w:ind w:left="425" w:leftChars="0" w:right="0" w:hanging="425" w:firstLineChars="0"/>
        <w:jc w:val="both"/>
        <w:rPr>
          <w:rFonts w:hint="default" w:ascii="Goudy Old Style" w:hAnsi="Goudy Old Style" w:eastAsia="sans-serif" w:cs="Goudy Old Style"/>
          <w:b/>
          <w:bCs/>
          <w:color w:val="000000"/>
          <w:kern w:val="0"/>
          <w:sz w:val="24"/>
          <w:szCs w:val="24"/>
          <w:u w:val="none"/>
          <w:lang w:val="en-US" w:eastAsia="zh-CN" w:bidi="ar"/>
        </w:rPr>
      </w:pPr>
      <w:r>
        <w:rPr>
          <w:rFonts w:hint="default" w:ascii="Goudy Old Style" w:hAnsi="Goudy Old Style" w:eastAsia="sans-serif" w:cs="Goudy Old Style"/>
          <w:b/>
          <w:bCs/>
          <w:color w:val="000000"/>
          <w:kern w:val="0"/>
          <w:sz w:val="24"/>
          <w:szCs w:val="24"/>
          <w:u w:val="none"/>
          <w:lang w:val="en-US" w:eastAsia="zh-CN" w:bidi="ar"/>
        </w:rPr>
        <w:t>CLOSING CEREMONY AND CERTIFICATE AWARDS</w:t>
      </w:r>
    </w:p>
    <w:p w14:paraId="5E228EF0">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cs="Goudy Old Style"/>
          <w:sz w:val="24"/>
          <w:szCs w:val="24"/>
        </w:rPr>
      </w:pPr>
      <w:r>
        <w:rPr>
          <w:rFonts w:hint="default" w:ascii="Goudy Old Style" w:hAnsi="Goudy Old Style" w:eastAsia="sans-serif" w:cs="Goudy Old Style"/>
          <w:color w:val="000000"/>
          <w:kern w:val="0"/>
          <w:sz w:val="24"/>
          <w:szCs w:val="24"/>
          <w:u w:val="none"/>
          <w:lang w:val="en-US" w:eastAsia="zh-CN" w:bidi="ar"/>
        </w:rPr>
        <w:t xml:space="preserve">The program culminated in a vibrant ceremony where 88 in-person graduates received Certificates of Completion, commissioned by Dr. Katja Kerschbaumer (ADA) as Champions of Ethical and Inclusive Governance. A special highlight: the IDIWA PWD leader was recognized for pioneering disability-inclusive governance standards, inspiring a standing ovation. Participants were gifted QR codes linking directly to the YouTube playlist, ensuring instant access to the full archive. </w:t>
      </w:r>
    </w:p>
    <w:p w14:paraId="0CA27B3E">
      <w:pPr>
        <w:keepNext w:val="0"/>
        <w:keepLines w:val="0"/>
        <w:widowControl/>
        <w:suppressLineNumbers w:val="0"/>
        <w:spacing w:before="0" w:beforeAutospacing="0" w:after="0" w:afterAutospacing="0"/>
        <w:ind w:left="0" w:right="0"/>
        <w:jc w:val="both"/>
        <w:rPr>
          <w:rFonts w:hint="default" w:ascii="Goudy Old Style" w:hAnsi="Goudy Old Style" w:eastAsia="sans-serif" w:cs="Goudy Old Style"/>
          <w:b/>
          <w:bCs/>
          <w:color w:val="000000"/>
          <w:kern w:val="0"/>
          <w:sz w:val="24"/>
          <w:szCs w:val="24"/>
          <w:u w:val="none"/>
          <w:lang w:val="en-US" w:eastAsia="zh-CN" w:bidi="ar"/>
        </w:rPr>
      </w:pPr>
    </w:p>
    <w:p w14:paraId="792F7F13">
      <w:pPr>
        <w:keepNext w:val="0"/>
        <w:keepLines w:val="0"/>
        <w:widowControl/>
        <w:numPr>
          <w:ilvl w:val="0"/>
          <w:numId w:val="1"/>
        </w:numPr>
        <w:suppressLineNumbers w:val="0"/>
        <w:spacing w:before="0" w:beforeAutospacing="0" w:after="0" w:afterAutospacing="0"/>
        <w:ind w:left="425" w:leftChars="0" w:right="0" w:hanging="425" w:firstLineChars="0"/>
        <w:jc w:val="both"/>
        <w:rPr>
          <w:rFonts w:hint="default" w:ascii="Goudy Old Style" w:hAnsi="Goudy Old Style" w:eastAsia="sans-serif" w:cs="Goudy Old Style"/>
          <w:b/>
          <w:bCs/>
          <w:color w:val="000000"/>
          <w:kern w:val="0"/>
          <w:sz w:val="24"/>
          <w:szCs w:val="24"/>
          <w:u w:val="none"/>
          <w:lang w:val="en-US" w:eastAsia="zh-CN" w:bidi="ar"/>
        </w:rPr>
      </w:pPr>
      <w:r>
        <w:rPr>
          <w:rFonts w:hint="default" w:ascii="Goudy Old Style" w:hAnsi="Goudy Old Style" w:eastAsia="sans-serif" w:cs="Goudy Old Style"/>
          <w:b/>
          <w:bCs/>
          <w:color w:val="000000"/>
          <w:kern w:val="0"/>
          <w:sz w:val="24"/>
          <w:szCs w:val="24"/>
          <w:u w:val="none"/>
          <w:lang w:val="en-US" w:eastAsia="zh-CN" w:bidi="ar"/>
        </w:rPr>
        <w:t>CONCLUSION</w:t>
      </w:r>
    </w:p>
    <w:p w14:paraId="1C86733A">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cs="Goudy Old Style"/>
          <w:sz w:val="24"/>
          <w:szCs w:val="24"/>
        </w:rPr>
      </w:pPr>
      <w:r>
        <w:rPr>
          <w:rFonts w:hint="default" w:ascii="Goudy Old Style" w:hAnsi="Goudy Old Style" w:eastAsia="sans-serif" w:cs="Goudy Old Style"/>
          <w:color w:val="000000"/>
          <w:kern w:val="0"/>
          <w:sz w:val="24"/>
          <w:szCs w:val="24"/>
          <w:u w:val="none"/>
          <w:lang w:val="en-US" w:eastAsia="zh-CN" w:bidi="ar"/>
        </w:rPr>
        <w:t xml:space="preserve">The Governance and Accountability Training was more than capacity building — it was a leadership awakening, now immortalized online. From 226 trained leaders to tens of thousands in the digital future, this program — powered by ADA’s vision, FLI’s expertise, and YouTube’s reach — is reshaping Uganda’s civil society one ethical decision, one story, one inclusive policy at a time. This is not the end. It is the beginning — and it’s now online for the world to see. </w:t>
      </w:r>
    </w:p>
    <w:p w14:paraId="26B11C59">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eastAsia="sans-serif" w:cs="Goudy Old Style"/>
          <w:color w:val="000000"/>
          <w:sz w:val="24"/>
          <w:szCs w:val="24"/>
        </w:rPr>
      </w:pPr>
    </w:p>
    <w:p w14:paraId="4208C53E">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eastAsia="sans-serif" w:cs="Goudy Old Style"/>
          <w:color w:val="000000"/>
          <w:sz w:val="24"/>
          <w:szCs w:val="24"/>
        </w:rPr>
      </w:pPr>
    </w:p>
    <w:p w14:paraId="53D67C59">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eastAsia="sans-serif" w:cs="Goudy Old Style"/>
          <w:color w:val="000000"/>
          <w:sz w:val="24"/>
          <w:szCs w:val="24"/>
        </w:rPr>
      </w:pPr>
    </w:p>
    <w:p w14:paraId="69DDDB9C">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both"/>
        <w:rPr>
          <w:rFonts w:hint="default" w:ascii="Goudy Old Style" w:hAnsi="Goudy Old Style" w:eastAsia="sans-serif" w:cs="Goudy Old Style"/>
          <w:color w:val="000000"/>
          <w:sz w:val="24"/>
          <w:szCs w:val="24"/>
        </w:rPr>
      </w:pPr>
    </w:p>
    <w:p w14:paraId="5CFE8A16">
      <w:pPr>
        <w:keepNext w:val="0"/>
        <w:keepLines w:val="0"/>
        <w:widowControl/>
        <w:suppressLineNumbers w:val="0"/>
        <w:pBdr>
          <w:top w:val="none" w:color="B9CAD3" w:sz="0" w:space="0"/>
          <w:left w:val="none" w:color="B9CAD3" w:sz="0" w:space="0"/>
          <w:bottom w:val="none" w:color="B9CAD3" w:sz="0" w:space="0"/>
          <w:right w:val="none" w:color="B9CAD3" w:sz="0" w:space="0"/>
        </w:pBdr>
        <w:spacing w:before="630" w:beforeAutospacing="0" w:after="630" w:afterAutospacing="0"/>
        <w:ind w:left="0" w:right="0"/>
        <w:jc w:val="right"/>
        <w:rPr>
          <w:rFonts w:hint="default" w:ascii="Goudy Old Style" w:hAnsi="Goudy Old Style" w:eastAsia="sans-serif" w:cs="Goudy Old Style"/>
          <w:color w:val="000000"/>
          <w:sz w:val="24"/>
          <w:szCs w:val="24"/>
        </w:rPr>
      </w:pPr>
    </w:p>
    <w:p w14:paraId="2358B1B4">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eastAsia="sans-serif" w:cs="Goudy Old Style"/>
          <w:color w:val="000000"/>
          <w:kern w:val="0"/>
          <w:sz w:val="24"/>
          <w:szCs w:val="24"/>
          <w:u w:val="none"/>
          <w:lang w:val="en-US" w:eastAsia="zh-CN" w:bidi="ar"/>
        </w:rPr>
      </w:pPr>
      <w:r>
        <w:rPr>
          <w:rFonts w:hint="default" w:ascii="Goudy Old Style" w:hAnsi="Goudy Old Style" w:eastAsia="sans-serif" w:cs="Goudy Old Style"/>
          <w:color w:val="000000"/>
          <w:kern w:val="0"/>
          <w:sz w:val="24"/>
          <w:szCs w:val="24"/>
          <w:u w:val="none"/>
          <w:lang w:val="en-US" w:eastAsia="zh-CN" w:bidi="ar"/>
        </w:rPr>
        <w:t>Prepared by:</w:t>
      </w:r>
      <w:r>
        <w:rPr>
          <w:rFonts w:hint="default" w:ascii="Goudy Old Style" w:hAnsi="Goudy Old Style" w:eastAsia="sans-serif" w:cs="Goudy Old Style"/>
          <w:color w:val="000000"/>
          <w:kern w:val="0"/>
          <w:sz w:val="24"/>
          <w:szCs w:val="24"/>
          <w:u w:val="none"/>
          <w:lang w:val="en-US" w:eastAsia="zh-CN" w:bidi="ar"/>
        </w:rPr>
        <w:br w:type="textWrapping"/>
      </w:r>
      <w:r>
        <w:rPr>
          <w:rFonts w:hint="default" w:ascii="Goudy Old Style" w:hAnsi="Goudy Old Style" w:eastAsia="sans-serif" w:cs="Goudy Old Style"/>
          <w:color w:val="000000"/>
          <w:kern w:val="0"/>
          <w:sz w:val="24"/>
          <w:szCs w:val="24"/>
          <w:u w:val="none"/>
          <w:lang w:val="en-US" w:eastAsia="zh-CN" w:bidi="ar"/>
        </w:rPr>
        <w:t>Fidelis Leadership Institute (FLI)</w:t>
      </w:r>
      <w:r>
        <w:rPr>
          <w:rFonts w:hint="default" w:ascii="Goudy Old Style" w:hAnsi="Goudy Old Style" w:eastAsia="sans-serif" w:cs="Goudy Old Style"/>
          <w:color w:val="000000"/>
          <w:kern w:val="0"/>
          <w:sz w:val="24"/>
          <w:szCs w:val="24"/>
          <w:u w:val="none"/>
          <w:lang w:val="en-US" w:eastAsia="zh-CN" w:bidi="ar"/>
        </w:rPr>
        <w:br w:type="textWrapping"/>
      </w:r>
      <w:r>
        <w:rPr>
          <w:rFonts w:hint="default" w:ascii="Goudy Old Style" w:hAnsi="Goudy Old Style" w:eastAsia="sans-serif" w:cs="Goudy Old Style"/>
          <w:color w:val="000000"/>
          <w:kern w:val="0"/>
          <w:sz w:val="24"/>
          <w:szCs w:val="24"/>
          <w:u w:val="none"/>
          <w:lang w:val="en-US" w:eastAsia="zh-CN" w:bidi="ar"/>
        </w:rPr>
        <w:t>Date: 31st October 2025</w:t>
      </w:r>
      <w:r>
        <w:rPr>
          <w:rFonts w:hint="default" w:ascii="Goudy Old Style" w:hAnsi="Goudy Old Style" w:eastAsia="sans-serif" w:cs="Goudy Old Style"/>
          <w:color w:val="000000"/>
          <w:kern w:val="0"/>
          <w:sz w:val="24"/>
          <w:szCs w:val="24"/>
          <w:u w:val="none"/>
          <w:lang w:val="en-US" w:eastAsia="zh-CN" w:bidi="ar"/>
        </w:rPr>
        <w:br w:type="textWrapping"/>
      </w:r>
      <w:r>
        <w:rPr>
          <w:rFonts w:hint="default" w:ascii="Goudy Old Style" w:hAnsi="Goudy Old Style" w:eastAsia="sans-serif" w:cs="Goudy Old Style"/>
          <w:color w:val="000000"/>
          <w:kern w:val="0"/>
          <w:sz w:val="24"/>
          <w:szCs w:val="24"/>
          <w:u w:val="none"/>
          <w:lang w:val="en-US" w:eastAsia="zh-CN" w:bidi="ar"/>
        </w:rPr>
        <w:t>Contact:</w:t>
      </w:r>
      <w:r>
        <w:rPr>
          <w:rFonts w:hint="default" w:ascii="Goudy Old Style" w:hAnsi="Goudy Old Style" w:eastAsia="sans-serif" w:cs="Goudy Old Style"/>
          <w:color w:val="000000"/>
          <w:kern w:val="0"/>
          <w:sz w:val="24"/>
          <w:szCs w:val="24"/>
          <w:u w:val="none"/>
          <w:lang w:val="en-US" w:eastAsia="zh-CN" w:bidi="ar"/>
        </w:rPr>
        <w:br w:type="textWrapping"/>
      </w:r>
      <w:r>
        <w:rPr>
          <w:rFonts w:hint="default" w:ascii="Goudy Old Style" w:hAnsi="Goudy Old Style" w:eastAsia="sans-serif" w:cs="Goudy Old Style"/>
          <w:color w:val="000000"/>
          <w:kern w:val="0"/>
          <w:sz w:val="24"/>
          <w:szCs w:val="24"/>
          <w:u w:val="none"/>
          <w:lang w:val="en-US" w:eastAsia="zh-CN" w:bidi="ar"/>
        </w:rPr>
        <w:t>Plot 61, Kanjokya Street, Kamwokya, Kampala</w:t>
      </w:r>
      <w:r>
        <w:rPr>
          <w:rFonts w:hint="default" w:ascii="Goudy Old Style" w:hAnsi="Goudy Old Style" w:eastAsia="sans-serif" w:cs="Goudy Old Style"/>
          <w:color w:val="000000"/>
          <w:kern w:val="0"/>
          <w:sz w:val="24"/>
          <w:szCs w:val="24"/>
          <w:u w:val="none"/>
          <w:lang w:val="en-US" w:eastAsia="zh-CN" w:bidi="ar"/>
        </w:rPr>
        <w:br w:type="textWrapping"/>
      </w:r>
      <w:r>
        <w:rPr>
          <w:rFonts w:hint="default" w:ascii="Goudy Old Style" w:hAnsi="Goudy Old Style" w:eastAsia="sans-serif" w:cs="Goudy Old Style"/>
          <w:color w:val="000000"/>
          <w:kern w:val="0"/>
          <w:sz w:val="24"/>
          <w:szCs w:val="24"/>
          <w:u w:val="none"/>
          <w:lang w:val="en-US" w:eastAsia="zh-CN" w:bidi="ar"/>
        </w:rPr>
        <w:t>Email: info@fidelis-institute.org</w:t>
      </w:r>
      <w:r>
        <w:rPr>
          <w:rFonts w:hint="default" w:ascii="Goudy Old Style" w:hAnsi="Goudy Old Style" w:eastAsia="sans-serif" w:cs="Goudy Old Style"/>
          <w:color w:val="000000"/>
          <w:kern w:val="0"/>
          <w:sz w:val="24"/>
          <w:szCs w:val="24"/>
          <w:u w:val="none"/>
          <w:lang w:val="en-US" w:eastAsia="zh-CN" w:bidi="ar"/>
        </w:rPr>
        <w:br w:type="textWrapping"/>
      </w:r>
      <w:r>
        <w:rPr>
          <w:rFonts w:hint="default" w:ascii="Goudy Old Style" w:hAnsi="Goudy Old Style" w:eastAsia="sans-serif" w:cs="Goudy Old Style"/>
          <w:color w:val="000000"/>
          <w:kern w:val="0"/>
          <w:sz w:val="24"/>
          <w:szCs w:val="24"/>
          <w:u w:val="none"/>
          <w:lang w:val="en-US" w:eastAsia="zh-CN" w:bidi="ar"/>
        </w:rPr>
        <w:t>Tel: +256 707 815 003</w:t>
      </w:r>
    </w:p>
    <w:p w14:paraId="3DD47464">
      <w:pPr>
        <w:keepNext w:val="0"/>
        <w:keepLines w:val="0"/>
        <w:widowControl/>
        <w:numPr>
          <w:ilvl w:val="0"/>
          <w:numId w:val="0"/>
        </w:numPr>
        <w:suppressLineNumbers w:val="0"/>
        <w:spacing w:before="0" w:beforeAutospacing="0" w:after="0" w:afterAutospacing="0"/>
        <w:ind w:leftChars="0" w:right="0" w:rightChars="0"/>
        <w:jc w:val="both"/>
        <w:rPr>
          <w:rFonts w:hint="default" w:ascii="Goudy Old Style" w:hAnsi="Goudy Old Style" w:cs="Goudy Old Style"/>
          <w:sz w:val="24"/>
          <w:szCs w:val="24"/>
        </w:rPr>
      </w:pPr>
      <w:r>
        <w:rPr>
          <w:rFonts w:hint="default" w:ascii="Goudy Old Style" w:hAnsi="Goudy Old Style" w:eastAsia="sans-serif" w:cs="Goudy Old Style"/>
          <w:color w:val="000000"/>
          <w:kern w:val="0"/>
          <w:sz w:val="24"/>
          <w:szCs w:val="24"/>
          <w:u w:val="none"/>
          <w:lang w:val="en-US" w:eastAsia="zh-CN" w:bidi="ar"/>
        </w:rPr>
        <w:t>Watch the Full Training:</w:t>
      </w:r>
      <w:r>
        <w:rPr>
          <w:rFonts w:hint="default" w:ascii="Goudy Old Style" w:hAnsi="Goudy Old Style" w:eastAsia="sans-serif" w:cs="Goudy Old Style"/>
          <w:color w:val="000000"/>
          <w:kern w:val="0"/>
          <w:sz w:val="24"/>
          <w:szCs w:val="24"/>
          <w:u w:val="none"/>
          <w:lang w:val="en-US" w:eastAsia="zh-CN" w:bidi="ar"/>
        </w:rPr>
        <w:br w:type="textWrapping"/>
      </w:r>
      <w:r>
        <w:rPr>
          <w:rFonts w:hint="default" w:ascii="Goudy Old Style" w:hAnsi="Goudy Old Style" w:eastAsia="sans-serif" w:cs="Goudy Old Style"/>
          <w:color w:val="000000"/>
          <w:kern w:val="0"/>
          <w:sz w:val="24"/>
          <w:szCs w:val="24"/>
          <w:u w:val="none"/>
          <w:lang w:val="en-US" w:eastAsia="zh-CN" w:bidi="ar"/>
        </w:rPr>
        <w:fldChar w:fldCharType="begin"/>
      </w:r>
      <w:r>
        <w:rPr>
          <w:rFonts w:hint="default" w:ascii="Goudy Old Style" w:hAnsi="Goudy Old Style" w:eastAsia="sans-serif" w:cs="Goudy Old Style"/>
          <w:color w:val="000000"/>
          <w:kern w:val="0"/>
          <w:sz w:val="24"/>
          <w:szCs w:val="24"/>
          <w:u w:val="none"/>
          <w:lang w:val="en-US" w:eastAsia="zh-CN" w:bidi="ar"/>
        </w:rPr>
        <w:instrText xml:space="preserve"> HYPERLINK "https://youtube.com/playlist?list=FLI_Governance2025" \t "_blank" </w:instrText>
      </w:r>
      <w:r>
        <w:rPr>
          <w:rFonts w:hint="default" w:ascii="Goudy Old Style" w:hAnsi="Goudy Old Style" w:eastAsia="sans-serif" w:cs="Goudy Old Style"/>
          <w:color w:val="000000"/>
          <w:kern w:val="0"/>
          <w:sz w:val="24"/>
          <w:szCs w:val="24"/>
          <w:u w:val="none"/>
          <w:lang w:val="en-US" w:eastAsia="zh-CN" w:bidi="ar"/>
        </w:rPr>
        <w:fldChar w:fldCharType="separate"/>
      </w:r>
      <w:r>
        <w:rPr>
          <w:rStyle w:val="10"/>
          <w:rFonts w:hint="default" w:ascii="Goudy Old Style" w:hAnsi="Goudy Old Style" w:eastAsia="sans-serif" w:cs="Goudy Old Style"/>
          <w:color w:val="000000"/>
          <w:sz w:val="24"/>
          <w:szCs w:val="24"/>
          <w:u w:val="none"/>
        </w:rPr>
        <w:t>youtube.com/playlist?list=FLI_Governance2025</w:t>
      </w:r>
      <w:r>
        <w:rPr>
          <w:rFonts w:hint="default" w:ascii="Goudy Old Style" w:hAnsi="Goudy Old Style" w:eastAsia="sans-serif" w:cs="Goudy Old Style"/>
          <w:color w:val="000000"/>
          <w:kern w:val="0"/>
          <w:sz w:val="24"/>
          <w:szCs w:val="24"/>
          <w:u w:val="none"/>
          <w:lang w:val="en-US" w:eastAsia="zh-CN" w:bidi="ar"/>
        </w:rPr>
        <w:fldChar w:fldCharType="end"/>
      </w:r>
    </w:p>
    <w:p w14:paraId="5D161D48">
      <w:pPr>
        <w:jc w:val="both"/>
        <w:rPr>
          <w:rFonts w:hint="default" w:ascii="Goudy Old Style" w:hAnsi="Goudy Old Style" w:cs="Goudy Old Style"/>
          <w:sz w:val="24"/>
          <w:szCs w:val="24"/>
        </w:rPr>
      </w:pPr>
    </w:p>
    <w:sectPr>
      <w:headerReference r:id="rId3" w:type="default"/>
      <w:footerReference r:id="rId4" w:type="default"/>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auto"/>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Goudy Old Style">
    <w:panose1 w:val="02020502050305020303"/>
    <w:charset w:val="00"/>
    <w:family w:val="roman"/>
    <w:pitch w:val="default"/>
    <w:sig w:usb0="00000003" w:usb1="00000000" w:usb2="00000000" w:usb3="00000000" w:csb0="20000001" w:csb1="00000000"/>
  </w:font>
  <w:font w:name="sans-serif">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swiss"/>
    <w:pitch w:val="default"/>
    <w:sig w:usb0="80001AFF" w:usb1="0000396B" w:usb2="00000000" w:usb3="00000000" w:csb0="200000B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68876">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5DBA90">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HWPZxIhAgAA&#10;YAQAAA4AAAAAAAAAAQAgAAAAHwEAAGRycy9lMm9Eb2MueG1sUEsFBgAAAAAGAAYAWQEAALIFAAAA&#10;AA==&#10;">
              <v:fill on="f" focussize="0,0"/>
              <v:stroke on="f" weight="0.5pt"/>
              <v:imagedata o:title=""/>
              <o:lock v:ext="edit" aspectratio="f"/>
              <v:textbox inset="0mm,0mm,0mm,0mm" style="mso-fit-shape-to-text:t;">
                <w:txbxContent>
                  <w:p w14:paraId="3C5DBA90">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1A26B">
    <w:pPr>
      <w:pStyle w:val="9"/>
      <w:rPr>
        <w:rFonts w:hint="default"/>
        <w:i/>
        <w:iCs/>
        <w:sz w:val="15"/>
        <w:szCs w:val="15"/>
        <w:lang w:val="en-US"/>
      </w:rPr>
    </w:pPr>
    <w:r>
      <w:rPr>
        <w:rFonts w:hint="default"/>
        <w:i/>
        <w:iCs/>
        <w:sz w:val="15"/>
        <w:szCs w:val="15"/>
        <w:lang w:val="en-US"/>
      </w:rPr>
      <w:t xml:space="preserve">FLI and ADA </w:t>
    </w:r>
    <w:r>
      <w:rPr>
        <w:rFonts w:hint="default"/>
        <w:i/>
        <w:iCs/>
        <w:sz w:val="15"/>
        <w:szCs w:val="15"/>
      </w:rPr>
      <w:t>GOVERNANCE AND ACCOUNTABILITY TRAINING FOR CIVIL SOCIETY ORGANISATION LEADERS IN UGANDA</w:t>
    </w:r>
    <w:r>
      <w:rPr>
        <w:rFonts w:hint="default"/>
        <w:i/>
        <w:iCs/>
        <w:sz w:val="15"/>
        <w:szCs w:val="15"/>
        <w:lang w:val="en-US"/>
      </w:rPr>
      <w:t xml:space="preserve"> 2025</w:t>
    </w:r>
  </w:p>
  <w:p w14:paraId="1ABBDE95">
    <w:pPr>
      <w:pStyle w:val="9"/>
      <w:rPr>
        <w:rFonts w:hint="default"/>
        <w:i/>
        <w:iCs/>
        <w:sz w:val="15"/>
        <w:szCs w:val="15"/>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A2546"/>
    <w:multiLevelType w:val="singleLevel"/>
    <w:tmpl w:val="82DA2546"/>
    <w:lvl w:ilvl="0" w:tentative="0">
      <w:start w:val="1"/>
      <w:numFmt w:val="lowerLetter"/>
      <w:lvlText w:val="%1)"/>
      <w:lvlJc w:val="left"/>
      <w:pPr>
        <w:tabs>
          <w:tab w:val="left" w:pos="425"/>
        </w:tabs>
        <w:ind w:left="425" w:leftChars="0" w:hanging="425" w:firstLineChars="0"/>
      </w:pPr>
      <w:rPr>
        <w:rFonts w:hint="default"/>
      </w:rPr>
    </w:lvl>
  </w:abstractNum>
  <w:abstractNum w:abstractNumId="1">
    <w:nsid w:val="8880CD08"/>
    <w:multiLevelType w:val="singleLevel"/>
    <w:tmpl w:val="8880CD08"/>
    <w:lvl w:ilvl="0" w:tentative="0">
      <w:start w:val="1"/>
      <w:numFmt w:val="decimal"/>
      <w:lvlText w:val="%1)"/>
      <w:lvlJc w:val="left"/>
      <w:pPr>
        <w:tabs>
          <w:tab w:val="left" w:pos="425"/>
        </w:tabs>
        <w:ind w:left="425" w:leftChars="0" w:hanging="425" w:firstLineChars="0"/>
      </w:pPr>
      <w:rPr>
        <w:rFonts w:hint="default"/>
      </w:rPr>
    </w:lvl>
  </w:abstractNum>
  <w:abstractNum w:abstractNumId="2">
    <w:nsid w:val="A929C8C5"/>
    <w:multiLevelType w:val="singleLevel"/>
    <w:tmpl w:val="A929C8C5"/>
    <w:lvl w:ilvl="0" w:tentative="0">
      <w:start w:val="1"/>
      <w:numFmt w:val="lowerLetter"/>
      <w:lvlText w:val="%1."/>
      <w:lvlJc w:val="left"/>
      <w:pPr>
        <w:tabs>
          <w:tab w:val="left" w:pos="425"/>
        </w:tabs>
        <w:ind w:left="425" w:leftChars="0" w:hanging="425" w:firstLineChars="0"/>
      </w:pPr>
      <w:rPr>
        <w:rFonts w:hint="default"/>
      </w:rPr>
    </w:lvl>
  </w:abstractNum>
  <w:abstractNum w:abstractNumId="3">
    <w:nsid w:val="DE4E90CD"/>
    <w:multiLevelType w:val="singleLevel"/>
    <w:tmpl w:val="DE4E90CD"/>
    <w:lvl w:ilvl="0" w:tentative="0">
      <w:start w:val="1"/>
      <w:numFmt w:val="lowerLetter"/>
      <w:lvlText w:val="%1."/>
      <w:lvlJc w:val="left"/>
      <w:pPr>
        <w:tabs>
          <w:tab w:val="left" w:pos="425"/>
        </w:tabs>
        <w:ind w:left="425" w:leftChars="0" w:hanging="425" w:firstLineChars="0"/>
      </w:pPr>
      <w:rPr>
        <w:rFonts w:hint="default"/>
      </w:rPr>
    </w:lvl>
  </w:abstractNum>
  <w:abstractNum w:abstractNumId="4">
    <w:nsid w:val="F7F9BD23"/>
    <w:multiLevelType w:val="singleLevel"/>
    <w:tmpl w:val="F7F9BD23"/>
    <w:lvl w:ilvl="0" w:tentative="0">
      <w:start w:val="1"/>
      <w:numFmt w:val="decimal"/>
      <w:lvlText w:val="%1."/>
      <w:lvlJc w:val="left"/>
      <w:pPr>
        <w:tabs>
          <w:tab w:val="left" w:pos="425"/>
        </w:tabs>
        <w:ind w:left="425" w:leftChars="0" w:hanging="425" w:firstLineChars="0"/>
      </w:pPr>
      <w:rPr>
        <w:rFonts w:hint="default"/>
      </w:rPr>
    </w:lvl>
  </w:abstractNum>
  <w:abstractNum w:abstractNumId="5">
    <w:nsid w:val="FD013ACF"/>
    <w:multiLevelType w:val="singleLevel"/>
    <w:tmpl w:val="FD013ACF"/>
    <w:lvl w:ilvl="0" w:tentative="0">
      <w:start w:val="1"/>
      <w:numFmt w:val="lowerLetter"/>
      <w:lvlText w:val="%1."/>
      <w:lvlJc w:val="left"/>
      <w:pPr>
        <w:tabs>
          <w:tab w:val="left" w:pos="425"/>
        </w:tabs>
        <w:ind w:left="425" w:leftChars="0" w:hanging="425" w:firstLineChars="0"/>
      </w:pPr>
      <w:rPr>
        <w:rFonts w:hint="default"/>
      </w:rPr>
    </w:lvl>
  </w:abstractNum>
  <w:abstractNum w:abstractNumId="6">
    <w:nsid w:val="0A2A1257"/>
    <w:multiLevelType w:val="singleLevel"/>
    <w:tmpl w:val="0A2A1257"/>
    <w:lvl w:ilvl="0" w:tentative="0">
      <w:start w:val="1"/>
      <w:numFmt w:val="lowerLetter"/>
      <w:lvlText w:val="%1)"/>
      <w:lvlJc w:val="left"/>
      <w:pPr>
        <w:tabs>
          <w:tab w:val="left" w:pos="425"/>
        </w:tabs>
        <w:ind w:left="425" w:leftChars="0" w:hanging="425" w:firstLineChars="0"/>
      </w:pPr>
      <w:rPr>
        <w:rFonts w:hint="default"/>
      </w:rPr>
    </w:lvl>
  </w:abstractNum>
  <w:abstractNum w:abstractNumId="7">
    <w:nsid w:val="0A970AE2"/>
    <w:multiLevelType w:val="singleLevel"/>
    <w:tmpl w:val="0A970AE2"/>
    <w:lvl w:ilvl="0" w:tentative="0">
      <w:start w:val="1"/>
      <w:numFmt w:val="lowerLetter"/>
      <w:lvlText w:val="%1)"/>
      <w:lvlJc w:val="left"/>
      <w:pPr>
        <w:tabs>
          <w:tab w:val="left" w:pos="425"/>
        </w:tabs>
        <w:ind w:left="425" w:leftChars="0" w:hanging="425" w:firstLineChars="0"/>
      </w:pPr>
      <w:rPr>
        <w:rFonts w:hint="default"/>
      </w:rPr>
    </w:lvl>
  </w:abstractNum>
  <w:abstractNum w:abstractNumId="8">
    <w:nsid w:val="1BF85DDB"/>
    <w:multiLevelType w:val="singleLevel"/>
    <w:tmpl w:val="1BF85DDB"/>
    <w:lvl w:ilvl="0" w:tentative="0">
      <w:start w:val="1"/>
      <w:numFmt w:val="lowerLetter"/>
      <w:lvlText w:val="%1."/>
      <w:lvlJc w:val="left"/>
      <w:pPr>
        <w:tabs>
          <w:tab w:val="left" w:pos="425"/>
        </w:tabs>
        <w:ind w:left="425" w:leftChars="0" w:hanging="425" w:firstLineChars="0"/>
      </w:pPr>
      <w:rPr>
        <w:rFonts w:hint="default"/>
      </w:rPr>
    </w:lvl>
  </w:abstractNum>
  <w:abstractNum w:abstractNumId="9">
    <w:nsid w:val="2DE4F4C8"/>
    <w:multiLevelType w:val="singleLevel"/>
    <w:tmpl w:val="2DE4F4C8"/>
    <w:lvl w:ilvl="0" w:tentative="0">
      <w:start w:val="1"/>
      <w:numFmt w:val="lowerLetter"/>
      <w:lvlText w:val="%1."/>
      <w:lvlJc w:val="left"/>
      <w:pPr>
        <w:tabs>
          <w:tab w:val="left" w:pos="425"/>
        </w:tabs>
        <w:ind w:left="425" w:leftChars="0" w:hanging="425" w:firstLineChars="0"/>
      </w:pPr>
      <w:rPr>
        <w:rFonts w:hint="default"/>
      </w:rPr>
    </w:lvl>
  </w:abstractNum>
  <w:abstractNum w:abstractNumId="10">
    <w:nsid w:val="3620206D"/>
    <w:multiLevelType w:val="singleLevel"/>
    <w:tmpl w:val="3620206D"/>
    <w:lvl w:ilvl="0" w:tentative="0">
      <w:start w:val="1"/>
      <w:numFmt w:val="lowerRoman"/>
      <w:lvlText w:val="%1."/>
      <w:lvlJc w:val="left"/>
      <w:pPr>
        <w:tabs>
          <w:tab w:val="left" w:pos="425"/>
        </w:tabs>
        <w:ind w:left="425" w:leftChars="0" w:hanging="425" w:firstLineChars="0"/>
      </w:pPr>
      <w:rPr>
        <w:rFonts w:hint="default"/>
      </w:rPr>
    </w:lvl>
  </w:abstractNum>
  <w:abstractNum w:abstractNumId="11">
    <w:nsid w:val="3B2D5110"/>
    <w:multiLevelType w:val="singleLevel"/>
    <w:tmpl w:val="3B2D5110"/>
    <w:lvl w:ilvl="0" w:tentative="0">
      <w:start w:val="1"/>
      <w:numFmt w:val="lowerLetter"/>
      <w:lvlText w:val="%1)"/>
      <w:lvlJc w:val="left"/>
      <w:pPr>
        <w:tabs>
          <w:tab w:val="left" w:pos="425"/>
        </w:tabs>
        <w:ind w:left="425" w:leftChars="0" w:hanging="425" w:firstLineChars="0"/>
      </w:pPr>
      <w:rPr>
        <w:rFonts w:hint="default"/>
      </w:rPr>
    </w:lvl>
  </w:abstractNum>
  <w:abstractNum w:abstractNumId="12">
    <w:nsid w:val="4196843F"/>
    <w:multiLevelType w:val="singleLevel"/>
    <w:tmpl w:val="4196843F"/>
    <w:lvl w:ilvl="0" w:tentative="0">
      <w:start w:val="1"/>
      <w:numFmt w:val="decimal"/>
      <w:lvlText w:val="%1."/>
      <w:lvlJc w:val="left"/>
      <w:pPr>
        <w:tabs>
          <w:tab w:val="left" w:pos="425"/>
        </w:tabs>
        <w:ind w:left="425" w:leftChars="0" w:hanging="425" w:firstLineChars="0"/>
      </w:pPr>
      <w:rPr>
        <w:rFonts w:hint="default"/>
      </w:rPr>
    </w:lvl>
  </w:abstractNum>
  <w:abstractNum w:abstractNumId="13">
    <w:nsid w:val="41DC73C1"/>
    <w:multiLevelType w:val="singleLevel"/>
    <w:tmpl w:val="41DC73C1"/>
    <w:lvl w:ilvl="0" w:tentative="0">
      <w:start w:val="2"/>
      <w:numFmt w:val="upperLetter"/>
      <w:suff w:val="space"/>
      <w:lvlText w:val="%1."/>
      <w:lvlJc w:val="left"/>
    </w:lvl>
  </w:abstractNum>
  <w:abstractNum w:abstractNumId="14">
    <w:nsid w:val="72026A02"/>
    <w:multiLevelType w:val="singleLevel"/>
    <w:tmpl w:val="72026A02"/>
    <w:lvl w:ilvl="0" w:tentative="0">
      <w:start w:val="1"/>
      <w:numFmt w:val="lowerLetter"/>
      <w:lvlText w:val="%1)"/>
      <w:lvlJc w:val="left"/>
      <w:pPr>
        <w:tabs>
          <w:tab w:val="left" w:pos="425"/>
        </w:tabs>
        <w:ind w:left="425" w:leftChars="0" w:hanging="425" w:firstLineChars="0"/>
      </w:pPr>
      <w:rPr>
        <w:rFonts w:hint="default"/>
      </w:rPr>
    </w:lvl>
  </w:abstractNum>
  <w:num w:numId="1">
    <w:abstractNumId w:val="4"/>
  </w:num>
  <w:num w:numId="2">
    <w:abstractNumId w:val="1"/>
  </w:num>
  <w:num w:numId="3">
    <w:abstractNumId w:val="12"/>
  </w:num>
  <w:num w:numId="4">
    <w:abstractNumId w:val="0"/>
  </w:num>
  <w:num w:numId="5">
    <w:abstractNumId w:val="14"/>
  </w:num>
  <w:num w:numId="6">
    <w:abstractNumId w:val="3"/>
  </w:num>
  <w:num w:numId="7">
    <w:abstractNumId w:val="13"/>
  </w:num>
  <w:num w:numId="8">
    <w:abstractNumId w:val="5"/>
  </w:num>
  <w:num w:numId="9">
    <w:abstractNumId w:val="6"/>
  </w:num>
  <w:num w:numId="10">
    <w:abstractNumId w:val="2"/>
  </w:num>
  <w:num w:numId="11">
    <w:abstractNumId w:val="8"/>
  </w:num>
  <w:num w:numId="12">
    <w:abstractNumId w:val="9"/>
  </w:num>
  <w:num w:numId="13">
    <w:abstractNumId w:val="10"/>
  </w:num>
  <w:num w:numId="14">
    <w:abstractNumId w:val="7"/>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D53767"/>
    <w:rsid w:val="23D53767"/>
    <w:rsid w:val="673A5B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semiHidden="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basedOn w:val="1"/>
    <w:qFormat/>
    <w:uiPriority w:val="1"/>
    <w:pPr>
      <w:spacing w:line="167" w:lineRule="exact"/>
      <w:ind w:left="101"/>
      <w:outlineLvl w:val="0"/>
    </w:pPr>
    <w:rPr>
      <w:rFonts w:ascii="Verdana" w:hAnsi="Verdana" w:eastAsia="Verdana" w:cs="Verdana"/>
      <w:b/>
      <w:bCs/>
      <w:sz w:val="14"/>
      <w:szCs w:val="14"/>
    </w:rPr>
  </w:style>
  <w:style w:type="paragraph" w:styleId="3">
    <w:name w:val="heading 2"/>
    <w:basedOn w:val="1"/>
    <w:next w:val="1"/>
    <w:unhideWhenUsed/>
    <w:qFormat/>
    <w:uiPriority w:val="9"/>
    <w:pPr>
      <w:keepNext/>
      <w:keepLines/>
      <w:spacing w:before="200"/>
      <w:outlineLvl w:val="1"/>
    </w:pPr>
    <w:rPr>
      <w:rFonts w:asciiTheme="majorHAnsi" w:hAnsiTheme="majorHAnsi" w:eastAsiaTheme="majorEastAsia" w:cstheme="majorBidi"/>
      <w:b/>
      <w:bCs/>
      <w:color w:val="5B9BD5" w:themeColor="accent1"/>
      <w:sz w:val="26"/>
      <w:szCs w:val="26"/>
      <w14:textFill>
        <w14:solidFill>
          <w14:schemeClr w14:val="accent1"/>
        </w14:solidFill>
      </w14:textFill>
    </w:rPr>
  </w:style>
  <w:style w:type="paragraph" w:styleId="4">
    <w:name w:val="heading 3"/>
    <w:basedOn w:val="1"/>
    <w:next w:val="1"/>
    <w:semiHidden/>
    <w:unhideWhenUsed/>
    <w:qFormat/>
    <w:uiPriority w:val="9"/>
    <w:pPr>
      <w:keepNext/>
      <w:keepLines/>
      <w:spacing w:before="200"/>
      <w:outlineLvl w:val="2"/>
    </w:pPr>
    <w:rPr>
      <w:rFonts w:asciiTheme="majorHAnsi" w:hAnsiTheme="majorHAnsi" w:eastAsiaTheme="majorEastAsia" w:cstheme="majorBidi"/>
      <w:b/>
      <w:bCs/>
      <w:color w:val="5B9BD5" w:themeColor="accent1"/>
      <w14:textFill>
        <w14:solidFill>
          <w14:schemeClr w14:val="accent1"/>
        </w14:solidFill>
      </w14:textFill>
    </w:rPr>
  </w:style>
  <w:style w:type="character" w:default="1" w:styleId="5">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character" w:styleId="7">
    <w:name w:val="Emphasis"/>
    <w:basedOn w:val="5"/>
    <w:qFormat/>
    <w:uiPriority w:val="20"/>
    <w:rPr>
      <w:i/>
      <w:iCs/>
    </w:rPr>
  </w:style>
  <w:style w:type="paragraph" w:styleId="8">
    <w:name w:val="footer"/>
    <w:basedOn w:val="1"/>
    <w:uiPriority w:val="0"/>
    <w:pPr>
      <w:tabs>
        <w:tab w:val="center" w:pos="4153"/>
        <w:tab w:val="right" w:pos="8306"/>
      </w:tabs>
      <w:snapToGrid w:val="0"/>
      <w:jc w:val="left"/>
    </w:pPr>
    <w:rPr>
      <w:sz w:val="18"/>
      <w:szCs w:val="18"/>
    </w:rPr>
  </w:style>
  <w:style w:type="paragraph" w:styleId="9">
    <w:name w:val="header"/>
    <w:basedOn w:val="1"/>
    <w:uiPriority w:val="0"/>
    <w:pPr>
      <w:tabs>
        <w:tab w:val="center" w:pos="4153"/>
        <w:tab w:val="right" w:pos="8306"/>
      </w:tabs>
      <w:snapToGrid w:val="0"/>
    </w:pPr>
    <w:rPr>
      <w:sz w:val="18"/>
      <w:szCs w:val="18"/>
    </w:rPr>
  </w:style>
  <w:style w:type="character" w:styleId="10">
    <w:name w:val="Hyperlink"/>
    <w:basedOn w:val="5"/>
    <w:uiPriority w:val="0"/>
    <w:rPr>
      <w:color w:val="0000FF"/>
      <w:u w:val="single"/>
    </w:rPr>
  </w:style>
  <w:style w:type="paragraph" w:styleId="11">
    <w:name w:val="Normal (Web)"/>
    <w:basedOn w:val="1"/>
    <w:unhideWhenUsed/>
    <w:qFormat/>
    <w:uiPriority w:val="99"/>
    <w:pPr>
      <w:widowControl/>
      <w:autoSpaceDE/>
      <w:autoSpaceDN/>
      <w:spacing w:before="100" w:beforeAutospacing="1" w:after="100" w:afterAutospacing="1"/>
    </w:pPr>
    <w:rPr>
      <w:rFonts w:ascii="Times New Roman" w:hAnsi="Times New Roman" w:eastAsia="Times New Roman" w:cs="Times New Roman"/>
      <w:sz w:val="24"/>
      <w:szCs w:val="24"/>
    </w:rPr>
  </w:style>
  <w:style w:type="character" w:styleId="12">
    <w:name w:val="Strong"/>
    <w:basedOn w:val="5"/>
    <w:qFormat/>
    <w:uiPriority w:val="22"/>
    <w:rPr>
      <w:b/>
      <w:bCs/>
    </w:rPr>
  </w:style>
  <w:style w:type="paragraph" w:styleId="13">
    <w:name w:val="toc 2"/>
    <w:basedOn w:val="1"/>
    <w:next w:val="1"/>
    <w:unhideWhenUsed/>
    <w:qFormat/>
    <w:uiPriority w:val="39"/>
    <w:pPr>
      <w:spacing w:after="100"/>
      <w:ind w:left="220"/>
    </w:pPr>
  </w:style>
  <w:style w:type="paragraph" w:styleId="14">
    <w:name w:val="toc 3"/>
    <w:basedOn w:val="1"/>
    <w:next w:val="1"/>
    <w:uiPriority w:val="0"/>
    <w:pPr>
      <w:ind w:left="840" w:leftChars="400"/>
    </w:pPr>
  </w:style>
  <w:style w:type="paragraph" w:customStyle="1" w:styleId="15">
    <w:name w:val="TOC Heading"/>
    <w:basedOn w:val="2"/>
    <w:next w:val="1"/>
    <w:semiHidden/>
    <w:unhideWhenUsed/>
    <w:qFormat/>
    <w:uiPriority w:val="39"/>
    <w:pPr>
      <w:keepNext/>
      <w:keepLines/>
      <w:widowControl/>
      <w:autoSpaceDE/>
      <w:autoSpaceDN/>
      <w:spacing w:before="480" w:line="276" w:lineRule="auto"/>
      <w:ind w:left="0"/>
      <w:outlineLvl w:val="9"/>
    </w:pPr>
    <w:rPr>
      <w:rFonts w:asciiTheme="majorHAnsi" w:hAnsiTheme="majorHAnsi" w:eastAsiaTheme="majorEastAsia" w:cstheme="majorBidi"/>
      <w:color w:val="2E75B6" w:themeColor="accent1" w:themeShade="BF"/>
      <w:sz w:val="28"/>
      <w:szCs w:val="28"/>
      <w:lang w:eastAsia="ja-JP"/>
    </w:rPr>
  </w:style>
  <w:style w:type="paragraph" w:styleId="16">
    <w:name w:val="No Spacing"/>
    <w:qFormat/>
    <w:uiPriority w:val="1"/>
    <w:pPr>
      <w:widowControl w:val="0"/>
      <w:autoSpaceDE w:val="0"/>
      <w:autoSpaceDN w:val="0"/>
    </w:pPr>
    <w:rPr>
      <w:rFonts w:ascii="Times New Roman" w:hAnsi="Times New Roman" w:eastAsia="Times New Roman" w:cs="Times New Roman"/>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en-US" altLang="zh-CN"/>
              <a:t>Attendance Demographics</a:t>
            </a:r>
            <a:endParaRPr lang="en-US" altLang="zh-CN"/>
          </a:p>
        </c:rich>
      </c:tx>
      <c:layout/>
      <c:overlay val="0"/>
      <c:spPr>
        <a:noFill/>
        <a:ln>
          <a:noFill/>
        </a:ln>
        <a:effectLst/>
      </c:spPr>
    </c:title>
    <c:autoTitleDeleted val="0"/>
    <c:plotArea>
      <c:layout>
        <c:manualLayout>
          <c:layoutTarget val="inner"/>
          <c:xMode val="edge"/>
          <c:yMode val="edge"/>
          <c:x val="0.0533178414665634"/>
          <c:y val="0.231007751937985"/>
          <c:w val="0.891815130389879"/>
          <c:h val="0.652580287929125"/>
        </c:manualLayout>
      </c:layout>
      <c:barChart>
        <c:barDir val="col"/>
        <c:grouping val="clustered"/>
        <c:varyColors val="0"/>
        <c:ser>
          <c:idx val="0"/>
          <c:order val="0"/>
          <c:tx>
            <c:strRef>
              <c:f>Sheet1!$B$1</c:f>
              <c:strCache>
                <c:ptCount val="1"/>
                <c:pt idx="0">
                  <c:v>Attendance</c:v>
                </c:pt>
              </c:strCache>
            </c:strRef>
          </c:tx>
          <c:spPr>
            <a:solidFill>
              <a:schemeClr val="accent1"/>
            </a:solidFill>
            <a:ln>
              <a:noFill/>
            </a:ln>
            <a:effectLst/>
          </c:spPr>
          <c:invertIfNegative val="0"/>
          <c:dPt>
            <c:idx val="0"/>
            <c:invertIfNegative val="0"/>
            <c:bubble3D val="0"/>
          </c:dPt>
          <c:dPt>
            <c:idx val="1"/>
            <c:invertIfNegative val="0"/>
            <c:bubble3D val="0"/>
          </c:dPt>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Day 1 Physical</c:v>
                </c:pt>
                <c:pt idx="1">
                  <c:v>Day 2 Physical</c:v>
                </c:pt>
                <c:pt idx="2">
                  <c:v>Day 1 Online</c:v>
                </c:pt>
                <c:pt idx="3">
                  <c:v>Day 2 online</c:v>
                </c:pt>
              </c:strCache>
            </c:strRef>
          </c:cat>
          <c:val>
            <c:numRef>
              <c:f>Sheet1!$B$2:$B$5</c:f>
              <c:numCache>
                <c:formatCode>General</c:formatCode>
                <c:ptCount val="4"/>
                <c:pt idx="0">
                  <c:v>52</c:v>
                </c:pt>
                <c:pt idx="1">
                  <c:v>36</c:v>
                </c:pt>
                <c:pt idx="2">
                  <c:v>91</c:v>
                </c:pt>
                <c:pt idx="3">
                  <c:v>47</c:v>
                </c:pt>
              </c:numCache>
            </c:numRef>
          </c:val>
        </c:ser>
        <c:ser>
          <c:idx val="1"/>
          <c:order val="1"/>
          <c:tx>
            <c:strRef>
              <c:f>Sheet1!#REF!</c:f>
              <c:strCache>
                <c:ptCount val="1"/>
                <c:pt idx="0">
                  <c:v/>
                </c:pt>
              </c:strCache>
            </c:strRef>
          </c:tx>
          <c:spPr>
            <a:solidFill>
              <a:schemeClr val="accent2"/>
            </a:solidFill>
            <a:ln>
              <a:noFill/>
            </a:ln>
            <a:effectLst/>
          </c:spPr>
          <c:invertIfNegative val="0"/>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Sheet1!$A$2:$A$5</c:f>
              <c:strCache>
                <c:ptCount val="4"/>
                <c:pt idx="0">
                  <c:v>Day 1 Physical</c:v>
                </c:pt>
                <c:pt idx="1">
                  <c:v>Day 2 Physical</c:v>
                </c:pt>
                <c:pt idx="2">
                  <c:v>Day 1 Online</c:v>
                </c:pt>
                <c:pt idx="3">
                  <c:v>Day 2 online</c:v>
                </c:pt>
              </c:strCache>
            </c:strRef>
          </c:cat>
          <c:val>
            <c:numRef>
              <c:f>Sheet1!#REF!</c:f>
              <c:numCache>
                <c:formatCode>General</c:formatCode>
                <c:ptCount val="1"/>
                <c:pt idx="0">
                  <c:v>1</c:v>
                </c:pt>
              </c:numCache>
            </c:numRef>
          </c:val>
        </c:ser>
        <c:ser>
          <c:idx val="2"/>
          <c:order val="2"/>
          <c:tx>
            <c:strRef>
              <c:f>Sheet1!$C$1</c:f>
              <c:strCache>
                <c:ptCount val="1"/>
                <c:pt idx="0">
                  <c:v>Percentage</c:v>
                </c:pt>
              </c:strCache>
            </c:strRef>
          </c:tx>
          <c:spPr>
            <a:solidFill>
              <a:schemeClr val="accent3"/>
            </a:solidFill>
            <a:ln>
              <a:noFill/>
            </a:ln>
            <a:effectLst/>
          </c:spPr>
          <c:invertIfNegative val="0"/>
          <c:dPt>
            <c:idx val="0"/>
            <c:invertIfNegative val="0"/>
            <c:bubble3D val="0"/>
          </c:dPt>
          <c:dPt>
            <c:idx val="1"/>
            <c:invertIfNegative val="0"/>
            <c:bubble3D val="0"/>
          </c:dPt>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Day 1 Physical</c:v>
                </c:pt>
                <c:pt idx="1">
                  <c:v>Day 2 Physical</c:v>
                </c:pt>
                <c:pt idx="2">
                  <c:v>Day 1 Online</c:v>
                </c:pt>
                <c:pt idx="3">
                  <c:v>Day 2 online</c:v>
                </c:pt>
              </c:strCache>
            </c:strRef>
          </c:cat>
          <c:val>
            <c:numRef>
              <c:f>Sheet1!$C$2:$C$5</c:f>
              <c:numCache>
                <c:formatCode>General</c:formatCode>
                <c:ptCount val="4"/>
                <c:pt idx="0">
                  <c:v>23</c:v>
                </c:pt>
                <c:pt idx="1">
                  <c:v>16</c:v>
                </c:pt>
                <c:pt idx="2">
                  <c:v>40</c:v>
                </c:pt>
                <c:pt idx="3">
                  <c:v>21</c:v>
                </c:pt>
              </c:numCache>
            </c:numRef>
          </c:val>
        </c:ser>
        <c:dLbls>
          <c:showLegendKey val="0"/>
          <c:showVal val="1"/>
          <c:showCatName val="0"/>
          <c:showSerName val="0"/>
          <c:showPercent val="1"/>
          <c:showBubbleSize val="0"/>
        </c:dLbls>
        <c:gapWidth val="246"/>
        <c:overlap val="-28"/>
        <c:axId val="779779428"/>
        <c:axId val="793067081"/>
      </c:barChart>
      <c:catAx>
        <c:axId val="779779428"/>
        <c:scaling>
          <c:orientation val="minMax"/>
        </c:scaling>
        <c:delete val="0"/>
        <c:axPos val="b"/>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93067081"/>
        <c:crosses val="autoZero"/>
        <c:auto val="1"/>
        <c:lblAlgn val="ctr"/>
        <c:lblOffset val="100"/>
        <c:noMultiLvlLbl val="0"/>
      </c:catAx>
      <c:valAx>
        <c:axId val="793067081"/>
        <c:scaling>
          <c:orientation val="minMax"/>
        </c:scaling>
        <c:delete val="1"/>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79779428"/>
        <c:crosses val="autoZero"/>
        <c:crossBetween val="between"/>
      </c:valAx>
      <c:spPr>
        <a:noFill/>
        <a:ln>
          <a:noFill/>
        </a:ln>
        <a:effectLst/>
      </c:spPr>
    </c:plotArea>
    <c:legend>
      <c:legendPos val="b"/>
      <c:layout>
        <c:manualLayout>
          <c:xMode val="edge"/>
          <c:yMode val="edge"/>
          <c:x val="0.313783522589998"/>
          <c:y val="0.13344666383340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89f52fd6-ca92-4c75-9210-8cb85cc04a99}"/>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33</TotalTime>
  <ScaleCrop>false</ScaleCrop>
  <LinksUpToDate>false</LinksUpToDate>
  <CharactersWithSpaces>0</CharactersWithSpaces>
  <Application>WPS Office_12.9.0.21549_F1E327BC-269C-435d-A152-05C5408002CA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2025-10-31T12:23:00Z</dcterms:created>
  <dc:creator>Pheona Wall</dc:creator>
  <cp:lastModifiedBy>WPS_1768986486</cp:lastModifiedBy>
  <dcterms:modified xsi:type="dcterms:W3CDTF">2026-01-27T08:19:45Z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1033-12.9.0.21549</vt:lpwstr>
  </property>
  <property fmtid="{D5CDD505-2E9C-101B-9397-08002B2CF9AE}" pid="3" name="ICV">
    <vt:lpwstr>0355398C009449C39C18405862334C69_13</vt:lpwstr>
  </property>
</Properties>
</file>